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b/>
          <w:sz w:val="32"/>
          <w:szCs w:val="32"/>
        </w:rPr>
      </w:pPr>
      <w:bookmarkStart w:id="6" w:name="_GoBack"/>
      <w:bookmarkEnd w:id="6"/>
    </w:p>
    <w:p>
      <w:pPr>
        <w:rPr>
          <w:rFonts w:ascii="宋体" w:hAnsi="宋体"/>
          <w:b/>
          <w:sz w:val="32"/>
          <w:szCs w:val="32"/>
        </w:rPr>
      </w:pPr>
      <w:r>
        <w:rPr>
          <w:rFonts w:hint="eastAsia" w:ascii="宋体" w:hAnsi="宋体"/>
          <w:b/>
          <w:sz w:val="32"/>
          <w:szCs w:val="32"/>
        </w:rPr>
        <w:t>项目编号：PZY202305013 </w:t>
      </w:r>
    </w:p>
    <w:p>
      <w:pPr>
        <w:rPr>
          <w:rFonts w:ascii="宋体" w:hAnsi="宋体"/>
          <w:b/>
          <w:sz w:val="48"/>
          <w:szCs w:val="48"/>
        </w:rPr>
      </w:pPr>
    </w:p>
    <w:p>
      <w:pPr>
        <w:jc w:val="center"/>
        <w:rPr>
          <w:rFonts w:ascii="宋体" w:hAnsi="宋体"/>
          <w:b/>
          <w:sz w:val="48"/>
          <w:szCs w:val="48"/>
        </w:rPr>
      </w:pPr>
      <w:r>
        <w:rPr>
          <w:rFonts w:hint="eastAsia" w:ascii="宋体" w:hAnsi="宋体"/>
          <w:b/>
          <w:sz w:val="48"/>
          <w:szCs w:val="48"/>
        </w:rPr>
        <w:t>平昌县中</w:t>
      </w:r>
      <w:r>
        <w:rPr>
          <w:rFonts w:hint="eastAsia" w:ascii="宋体" w:hAnsi="宋体"/>
          <w:b/>
          <w:sz w:val="48"/>
          <w:szCs w:val="48"/>
          <w:lang w:val="en-US" w:eastAsia="zh-CN"/>
        </w:rPr>
        <w:t>医</w:t>
      </w:r>
      <w:r>
        <w:rPr>
          <w:rFonts w:hint="eastAsia" w:ascii="宋体" w:hAnsi="宋体"/>
          <w:b/>
          <w:sz w:val="48"/>
          <w:szCs w:val="48"/>
        </w:rPr>
        <w:t>医院</w:t>
      </w:r>
    </w:p>
    <w:p>
      <w:pPr>
        <w:jc w:val="center"/>
        <w:rPr>
          <w:rFonts w:ascii="宋体" w:hAnsi="宋体"/>
          <w:b/>
          <w:color w:val="FF0000"/>
          <w:sz w:val="48"/>
          <w:szCs w:val="48"/>
        </w:rPr>
      </w:pPr>
      <w:r>
        <w:rPr>
          <w:rFonts w:hint="eastAsia" w:ascii="宋体" w:hAnsi="宋体"/>
          <w:b/>
          <w:sz w:val="48"/>
          <w:szCs w:val="48"/>
        </w:rPr>
        <w:t>医疗设备维修维保服务采购项目</w:t>
      </w:r>
    </w:p>
    <w:p>
      <w:pPr>
        <w:jc w:val="center"/>
        <w:rPr>
          <w:rFonts w:ascii="宋体"/>
          <w:b/>
          <w:sz w:val="96"/>
        </w:rPr>
      </w:pPr>
      <w:bookmarkStart w:id="0" w:name="_Hlt101233737"/>
      <w:bookmarkEnd w:id="0"/>
      <w:bookmarkStart w:id="1" w:name="_Hlt101843627"/>
      <w:bookmarkEnd w:id="1"/>
    </w:p>
    <w:p>
      <w:pPr>
        <w:jc w:val="center"/>
        <w:rPr>
          <w:rFonts w:ascii="宋体"/>
          <w:b/>
          <w:sz w:val="72"/>
          <w:szCs w:val="72"/>
        </w:rPr>
      </w:pPr>
      <w:r>
        <w:rPr>
          <w:rFonts w:hint="eastAsia" w:ascii="宋体"/>
          <w:b/>
          <w:sz w:val="72"/>
          <w:szCs w:val="72"/>
        </w:rPr>
        <w:t>比</w:t>
      </w:r>
    </w:p>
    <w:p>
      <w:pPr>
        <w:jc w:val="center"/>
        <w:rPr>
          <w:rFonts w:ascii="宋体"/>
          <w:b/>
          <w:sz w:val="72"/>
          <w:szCs w:val="72"/>
        </w:rPr>
      </w:pPr>
      <w:r>
        <w:rPr>
          <w:rFonts w:hint="eastAsia" w:ascii="宋体"/>
          <w:b/>
          <w:sz w:val="72"/>
          <w:szCs w:val="72"/>
        </w:rPr>
        <w:t>选</w:t>
      </w:r>
    </w:p>
    <w:p>
      <w:pPr>
        <w:jc w:val="center"/>
        <w:rPr>
          <w:rFonts w:ascii="宋体"/>
          <w:b/>
          <w:sz w:val="72"/>
          <w:szCs w:val="72"/>
        </w:rPr>
      </w:pPr>
      <w:r>
        <w:rPr>
          <w:rFonts w:hint="eastAsia" w:ascii="宋体"/>
          <w:b/>
          <w:sz w:val="72"/>
          <w:szCs w:val="72"/>
        </w:rPr>
        <w:t>通</w:t>
      </w:r>
    </w:p>
    <w:p>
      <w:pPr>
        <w:jc w:val="center"/>
        <w:rPr>
          <w:rFonts w:ascii="宋体"/>
          <w:b/>
          <w:sz w:val="72"/>
          <w:szCs w:val="72"/>
        </w:rPr>
      </w:pPr>
      <w:r>
        <w:rPr>
          <w:rFonts w:hint="eastAsia" w:ascii="宋体"/>
          <w:b/>
          <w:sz w:val="72"/>
          <w:szCs w:val="72"/>
        </w:rPr>
        <w:t>知</w:t>
      </w:r>
    </w:p>
    <w:p>
      <w:pPr>
        <w:jc w:val="center"/>
        <w:rPr>
          <w:rFonts w:ascii="宋体"/>
          <w:b/>
          <w:sz w:val="72"/>
          <w:szCs w:val="72"/>
        </w:rPr>
      </w:pPr>
      <w:r>
        <w:rPr>
          <w:rFonts w:hint="eastAsia" w:ascii="宋体"/>
          <w:b/>
          <w:sz w:val="72"/>
          <w:szCs w:val="72"/>
        </w:rPr>
        <w:t>书</w:t>
      </w:r>
    </w:p>
    <w:p>
      <w:pPr>
        <w:spacing w:line="360" w:lineRule="auto"/>
        <w:rPr>
          <w:b/>
          <w:sz w:val="32"/>
          <w:szCs w:val="32"/>
        </w:rPr>
      </w:pPr>
    </w:p>
    <w:p>
      <w:pPr>
        <w:spacing w:line="360" w:lineRule="auto"/>
        <w:rPr>
          <w:b/>
          <w:sz w:val="32"/>
          <w:szCs w:val="32"/>
        </w:rPr>
      </w:pPr>
    </w:p>
    <w:p>
      <w:pPr>
        <w:spacing w:line="360" w:lineRule="auto"/>
        <w:rPr>
          <w:b/>
          <w:sz w:val="32"/>
          <w:szCs w:val="32"/>
        </w:rPr>
      </w:pPr>
    </w:p>
    <w:p>
      <w:pPr>
        <w:spacing w:line="360" w:lineRule="auto"/>
        <w:jc w:val="center"/>
        <w:rPr>
          <w:b/>
          <w:sz w:val="32"/>
          <w:szCs w:val="32"/>
        </w:rPr>
      </w:pPr>
      <w:r>
        <w:rPr>
          <w:rFonts w:hint="eastAsia"/>
          <w:b/>
          <w:sz w:val="32"/>
          <w:szCs w:val="32"/>
        </w:rPr>
        <w:t>平昌县中医医院 编制</w:t>
      </w:r>
    </w:p>
    <w:p>
      <w:pPr>
        <w:spacing w:line="360" w:lineRule="auto"/>
        <w:jc w:val="center"/>
        <w:rPr>
          <w:rFonts w:ascii="宋体"/>
          <w:bCs/>
          <w:color w:val="000000"/>
          <w:sz w:val="36"/>
        </w:rPr>
      </w:pPr>
      <w:r>
        <w:rPr>
          <w:rFonts w:hint="eastAsia"/>
          <w:b/>
          <w:bCs/>
          <w:sz w:val="32"/>
          <w:szCs w:val="32"/>
          <w:lang w:val="zh-CN"/>
        </w:rPr>
        <w:t xml:space="preserve"> 二〇二</w:t>
      </w:r>
      <w:r>
        <w:rPr>
          <w:rFonts w:hint="eastAsia"/>
          <w:b/>
          <w:bCs/>
          <w:sz w:val="32"/>
          <w:szCs w:val="32"/>
        </w:rPr>
        <w:t>三</w:t>
      </w:r>
      <w:r>
        <w:rPr>
          <w:rFonts w:hint="eastAsia"/>
          <w:b/>
          <w:bCs/>
          <w:sz w:val="32"/>
          <w:szCs w:val="32"/>
          <w:lang w:val="zh-CN"/>
        </w:rPr>
        <w:t>年</w:t>
      </w:r>
      <w:r>
        <w:rPr>
          <w:rFonts w:hint="eastAsia"/>
          <w:b/>
          <w:bCs/>
          <w:sz w:val="32"/>
          <w:szCs w:val="32"/>
        </w:rPr>
        <w:t>七月</w:t>
      </w:r>
    </w:p>
    <w:p/>
    <w:p>
      <w:pPr>
        <w:pStyle w:val="2"/>
        <w:sectPr>
          <w:footerReference r:id="rId7" w:type="first"/>
          <w:headerReference r:id="rId3" w:type="default"/>
          <w:footerReference r:id="rId5" w:type="default"/>
          <w:headerReference r:id="rId4" w:type="even"/>
          <w:footerReference r:id="rId6" w:type="even"/>
          <w:pgSz w:w="11907" w:h="16840"/>
          <w:pgMar w:top="1440" w:right="1797" w:bottom="1440" w:left="1797" w:header="851" w:footer="992" w:gutter="0"/>
          <w:pgNumType w:fmt="numberInDash"/>
          <w:cols w:space="720" w:num="1"/>
          <w:docGrid w:type="lines" w:linePitch="312" w:charSpace="0"/>
        </w:sectPr>
      </w:pPr>
    </w:p>
    <w:p>
      <w:pPr>
        <w:spacing w:line="360" w:lineRule="auto"/>
        <w:jc w:val="center"/>
        <w:rPr>
          <w:rFonts w:hint="eastAsia" w:ascii="仿宋" w:hAnsi="仿宋" w:eastAsia="仿宋" w:cs="仿宋"/>
          <w:b/>
          <w:sz w:val="32"/>
          <w:szCs w:val="32"/>
        </w:rPr>
      </w:pPr>
    </w:p>
    <w:p>
      <w:pPr>
        <w:spacing w:line="360" w:lineRule="auto"/>
        <w:jc w:val="center"/>
        <w:rPr>
          <w:rFonts w:ascii="仿宋" w:hAnsi="仿宋" w:eastAsia="仿宋" w:cs="仿宋"/>
          <w:b/>
          <w:bCs w:val="0"/>
          <w:sz w:val="44"/>
          <w:szCs w:val="44"/>
        </w:rPr>
      </w:pPr>
      <w:r>
        <w:rPr>
          <w:rFonts w:hint="eastAsia" w:ascii="仿宋" w:hAnsi="仿宋" w:eastAsia="仿宋" w:cs="仿宋"/>
          <w:b/>
          <w:bCs w:val="0"/>
          <w:sz w:val="44"/>
          <w:szCs w:val="44"/>
        </w:rPr>
        <w:t>目     录</w:t>
      </w:r>
    </w:p>
    <w:p>
      <w:pPr>
        <w:spacing w:line="360" w:lineRule="auto"/>
        <w:rPr>
          <w:rFonts w:ascii="仿宋" w:hAnsi="仿宋" w:eastAsia="仿宋" w:cs="仿宋"/>
          <w:b/>
          <w:sz w:val="32"/>
          <w:szCs w:val="32"/>
        </w:rPr>
      </w:pPr>
    </w:p>
    <w:p>
      <w:pPr>
        <w:pStyle w:val="10"/>
        <w:tabs>
          <w:tab w:val="right" w:leader="dot" w:pos="8296"/>
        </w:tabs>
        <w:rPr>
          <w:rFonts w:ascii="仿宋" w:hAnsi="仿宋" w:eastAsia="仿宋" w:cs="仿宋"/>
          <w:b w:val="0"/>
          <w:bCs w:val="0"/>
          <w:caps w:val="0"/>
          <w:sz w:val="32"/>
          <w:szCs w:val="32"/>
        </w:rPr>
      </w:pP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TOC \o "1-1" \h \z \u </w:instrText>
      </w:r>
      <w:r>
        <w:rPr>
          <w:rFonts w:hint="eastAsia" w:ascii="仿宋" w:hAnsi="仿宋" w:eastAsia="仿宋" w:cs="仿宋"/>
          <w:b w:val="0"/>
          <w:bCs w:val="0"/>
          <w:sz w:val="32"/>
          <w:szCs w:val="32"/>
        </w:rPr>
        <w:fldChar w:fldCharType="separate"/>
      </w:r>
    </w:p>
    <w:p>
      <w:pPr>
        <w:pStyle w:val="10"/>
        <w:tabs>
          <w:tab w:val="right" w:leader="dot" w:pos="8296"/>
        </w:tabs>
        <w:rPr>
          <w:rFonts w:ascii="仿宋" w:hAnsi="仿宋" w:eastAsia="仿宋" w:cs="仿宋"/>
          <w:b w:val="0"/>
          <w:bCs w:val="0"/>
          <w:caps w:val="0"/>
          <w:sz w:val="32"/>
          <w:szCs w:val="32"/>
        </w:rPr>
      </w:pPr>
      <w:r>
        <w:rPr>
          <w:b w:val="0"/>
          <w:bCs w:val="0"/>
        </w:rPr>
        <w:fldChar w:fldCharType="begin"/>
      </w:r>
      <w:r>
        <w:rPr>
          <w:b w:val="0"/>
          <w:bCs w:val="0"/>
        </w:rPr>
        <w:instrText xml:space="preserve"> HYPERLINK \l "_Toc80017519" </w:instrText>
      </w:r>
      <w:r>
        <w:rPr>
          <w:b w:val="0"/>
          <w:bCs w:val="0"/>
        </w:rPr>
        <w:fldChar w:fldCharType="separate"/>
      </w:r>
      <w:r>
        <w:rPr>
          <w:rStyle w:val="17"/>
          <w:rFonts w:hint="eastAsia" w:ascii="仿宋" w:hAnsi="仿宋" w:eastAsia="仿宋" w:cs="仿宋"/>
          <w:b w:val="0"/>
          <w:bCs w:val="0"/>
          <w:color w:val="auto"/>
          <w:sz w:val="32"/>
          <w:szCs w:val="32"/>
        </w:rPr>
        <w:t>第</w:t>
      </w:r>
      <w:r>
        <w:rPr>
          <w:rStyle w:val="17"/>
          <w:rFonts w:hint="eastAsia" w:ascii="仿宋" w:hAnsi="仿宋" w:eastAsia="仿宋" w:cs="仿宋"/>
          <w:b w:val="0"/>
          <w:bCs w:val="0"/>
          <w:color w:val="auto"/>
          <w:sz w:val="32"/>
          <w:szCs w:val="32"/>
          <w:lang w:val="en-US" w:eastAsia="zh-CN"/>
        </w:rPr>
        <w:t>一</w:t>
      </w:r>
      <w:r>
        <w:rPr>
          <w:rStyle w:val="17"/>
          <w:rFonts w:hint="eastAsia" w:ascii="仿宋" w:hAnsi="仿宋" w:eastAsia="仿宋" w:cs="仿宋"/>
          <w:b w:val="0"/>
          <w:bCs w:val="0"/>
          <w:color w:val="auto"/>
          <w:sz w:val="32"/>
          <w:szCs w:val="32"/>
        </w:rPr>
        <w:t xml:space="preserve">章  </w:t>
      </w:r>
      <w:r>
        <w:rPr>
          <w:rFonts w:hint="eastAsia" w:ascii="仿宋" w:hAnsi="仿宋" w:eastAsia="仿宋" w:cs="仿宋"/>
          <w:b w:val="0"/>
          <w:bCs w:val="0"/>
          <w:sz w:val="28"/>
          <w:szCs w:val="28"/>
        </w:rPr>
        <w:t>比选人资格证明文件</w:t>
      </w:r>
      <w:r>
        <w:rPr>
          <w:rFonts w:hint="eastAsia" w:ascii="仿宋" w:hAnsi="仿宋" w:eastAsia="仿宋" w:cs="仿宋"/>
          <w:b w:val="0"/>
          <w:bCs w:val="0"/>
          <w:sz w:val="32"/>
          <w:szCs w:val="32"/>
        </w:rPr>
        <w:tab/>
      </w: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fldChar w:fldCharType="end"/>
      </w:r>
    </w:p>
    <w:p>
      <w:pPr>
        <w:pStyle w:val="10"/>
        <w:tabs>
          <w:tab w:val="right" w:leader="dot" w:pos="8296"/>
        </w:tabs>
        <w:rPr>
          <w:rFonts w:ascii="仿宋" w:hAnsi="仿宋" w:eastAsia="仿宋" w:cs="仿宋"/>
          <w:b w:val="0"/>
          <w:bCs w:val="0"/>
          <w:caps w:val="0"/>
          <w:sz w:val="32"/>
          <w:szCs w:val="32"/>
        </w:rPr>
      </w:pPr>
      <w:r>
        <w:rPr>
          <w:b w:val="0"/>
          <w:bCs w:val="0"/>
        </w:rPr>
        <w:fldChar w:fldCharType="begin"/>
      </w:r>
      <w:r>
        <w:rPr>
          <w:b w:val="0"/>
          <w:bCs w:val="0"/>
        </w:rPr>
        <w:instrText xml:space="preserve"> HYPERLINK \l "_Toc80017520" </w:instrText>
      </w:r>
      <w:r>
        <w:rPr>
          <w:b w:val="0"/>
          <w:bCs w:val="0"/>
        </w:rPr>
        <w:fldChar w:fldCharType="separate"/>
      </w:r>
      <w:r>
        <w:rPr>
          <w:rStyle w:val="17"/>
          <w:rFonts w:hint="eastAsia" w:ascii="仿宋" w:hAnsi="仿宋" w:eastAsia="仿宋" w:cs="仿宋"/>
          <w:b w:val="0"/>
          <w:bCs w:val="0"/>
          <w:color w:val="auto"/>
          <w:sz w:val="32"/>
          <w:szCs w:val="32"/>
        </w:rPr>
        <w:t>第</w:t>
      </w:r>
      <w:r>
        <w:rPr>
          <w:rStyle w:val="17"/>
          <w:rFonts w:hint="eastAsia" w:ascii="仿宋" w:hAnsi="仿宋" w:eastAsia="仿宋" w:cs="仿宋"/>
          <w:b w:val="0"/>
          <w:bCs w:val="0"/>
          <w:color w:val="auto"/>
          <w:sz w:val="32"/>
          <w:szCs w:val="32"/>
          <w:lang w:val="en-US" w:eastAsia="zh-CN"/>
        </w:rPr>
        <w:t>二</w:t>
      </w:r>
      <w:r>
        <w:rPr>
          <w:rStyle w:val="17"/>
          <w:rFonts w:hint="eastAsia" w:ascii="仿宋" w:hAnsi="仿宋" w:eastAsia="仿宋" w:cs="仿宋"/>
          <w:b w:val="0"/>
          <w:bCs w:val="0"/>
          <w:color w:val="auto"/>
          <w:sz w:val="32"/>
          <w:szCs w:val="32"/>
        </w:rPr>
        <w:t>章  服务技术规格、商务条件说明</w:t>
      </w:r>
      <w:r>
        <w:rPr>
          <w:rFonts w:hint="eastAsia" w:ascii="仿宋" w:hAnsi="仿宋" w:eastAsia="仿宋" w:cs="仿宋"/>
          <w:b w:val="0"/>
          <w:bCs w:val="0"/>
          <w:sz w:val="32"/>
          <w:szCs w:val="32"/>
        </w:rPr>
        <w:tab/>
      </w: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fldChar w:fldCharType="end"/>
      </w:r>
    </w:p>
    <w:p>
      <w:pPr>
        <w:pStyle w:val="10"/>
        <w:tabs>
          <w:tab w:val="right" w:leader="dot" w:pos="8296"/>
        </w:tabs>
        <w:rPr>
          <w:rFonts w:hint="eastAsia" w:ascii="仿宋" w:hAnsi="仿宋" w:eastAsia="仿宋" w:cs="仿宋"/>
          <w:b w:val="0"/>
          <w:bCs w:val="0"/>
          <w:caps w:val="0"/>
          <w:sz w:val="32"/>
          <w:szCs w:val="32"/>
          <w:lang w:eastAsia="zh-CN"/>
        </w:rPr>
      </w:pPr>
      <w:r>
        <w:rPr>
          <w:b w:val="0"/>
          <w:bCs w:val="0"/>
        </w:rPr>
        <w:fldChar w:fldCharType="begin"/>
      </w:r>
      <w:r>
        <w:rPr>
          <w:b w:val="0"/>
          <w:bCs w:val="0"/>
        </w:rPr>
        <w:instrText xml:space="preserve"> HYPERLINK \l "_Toc80017522" </w:instrText>
      </w:r>
      <w:r>
        <w:rPr>
          <w:b w:val="0"/>
          <w:bCs w:val="0"/>
        </w:rPr>
        <w:fldChar w:fldCharType="separate"/>
      </w:r>
      <w:r>
        <w:rPr>
          <w:rStyle w:val="17"/>
          <w:rFonts w:hint="eastAsia" w:ascii="仿宋" w:hAnsi="仿宋" w:eastAsia="仿宋" w:cs="仿宋"/>
          <w:b w:val="0"/>
          <w:bCs w:val="0"/>
          <w:color w:val="auto"/>
          <w:sz w:val="32"/>
          <w:szCs w:val="32"/>
        </w:rPr>
        <w:t>第</w:t>
      </w:r>
      <w:r>
        <w:rPr>
          <w:rStyle w:val="17"/>
          <w:rFonts w:hint="eastAsia" w:ascii="仿宋" w:hAnsi="仿宋" w:eastAsia="仿宋" w:cs="仿宋"/>
          <w:b w:val="0"/>
          <w:bCs w:val="0"/>
          <w:color w:val="auto"/>
          <w:sz w:val="32"/>
          <w:szCs w:val="32"/>
          <w:lang w:val="en-US" w:eastAsia="zh-CN"/>
        </w:rPr>
        <w:t>三</w:t>
      </w:r>
      <w:r>
        <w:rPr>
          <w:rStyle w:val="17"/>
          <w:rFonts w:hint="eastAsia" w:ascii="仿宋" w:hAnsi="仿宋" w:eastAsia="仿宋" w:cs="仿宋"/>
          <w:b w:val="0"/>
          <w:bCs w:val="0"/>
          <w:color w:val="auto"/>
          <w:sz w:val="32"/>
          <w:szCs w:val="32"/>
        </w:rPr>
        <w:t>章  开标和评标</w:t>
      </w:r>
      <w:r>
        <w:rPr>
          <w:rFonts w:hint="eastAsia" w:ascii="仿宋" w:hAnsi="仿宋" w:eastAsia="仿宋" w:cs="仿宋"/>
          <w:b w:val="0"/>
          <w:bCs w:val="0"/>
          <w:sz w:val="32"/>
          <w:szCs w:val="32"/>
        </w:rPr>
        <w:tab/>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lang w:val="en-US" w:eastAsia="zh-CN"/>
        </w:rPr>
        <w:t>7</w:t>
      </w:r>
    </w:p>
    <w:p>
      <w:pPr>
        <w:pStyle w:val="10"/>
        <w:tabs>
          <w:tab w:val="right" w:leader="dot" w:pos="8296"/>
        </w:tabs>
        <w:rPr>
          <w:rFonts w:ascii="仿宋" w:hAnsi="仿宋" w:eastAsia="仿宋" w:cs="仿宋"/>
          <w:b w:val="0"/>
          <w:bCs w:val="0"/>
          <w:caps w:val="0"/>
          <w:sz w:val="32"/>
          <w:szCs w:val="32"/>
        </w:rPr>
      </w:pPr>
    </w:p>
    <w:p/>
    <w:p>
      <w:pPr>
        <w:keepLines w:val="0"/>
        <w:pageBreakBefore w:val="0"/>
        <w:widowControl w:val="0"/>
        <w:kinsoku/>
        <w:wordWrap/>
        <w:overflowPunct/>
        <w:topLinePunct w:val="0"/>
        <w:autoSpaceDE/>
        <w:autoSpaceDN/>
        <w:bidi w:val="0"/>
        <w:adjustRightInd/>
        <w:spacing w:line="500" w:lineRule="exact"/>
        <w:ind w:firstLine="643" w:firstLineChars="200"/>
        <w:textAlignment w:val="auto"/>
        <w:rPr>
          <w:rFonts w:asciiTheme="minorEastAsia" w:hAnsiTheme="minorEastAsia" w:eastAsiaTheme="minorEastAsia" w:cstheme="minorEastAsia"/>
          <w:sz w:val="30"/>
          <w:szCs w:val="30"/>
        </w:rPr>
      </w:pPr>
      <w:r>
        <w:rPr>
          <w:rFonts w:hint="eastAsia" w:ascii="仿宋" w:hAnsi="仿宋" w:eastAsia="仿宋" w:cs="仿宋"/>
          <w:b/>
          <w:bCs/>
          <w:sz w:val="32"/>
          <w:szCs w:val="32"/>
        </w:rPr>
        <w:fldChar w:fldCharType="end"/>
      </w:r>
    </w:p>
    <w:p>
      <w:pPr>
        <w:keepLines w:val="0"/>
        <w:pageBreakBefore w:val="0"/>
        <w:widowControl w:val="0"/>
        <w:kinsoku/>
        <w:wordWrap/>
        <w:overflowPunct/>
        <w:topLinePunct w:val="0"/>
        <w:autoSpaceDE/>
        <w:autoSpaceDN/>
        <w:bidi w:val="0"/>
        <w:adjustRightInd/>
        <w:spacing w:line="500" w:lineRule="exact"/>
        <w:jc w:val="center"/>
        <w:textAlignment w:val="auto"/>
        <w:rPr>
          <w:rFonts w:asciiTheme="minorEastAsia" w:hAnsiTheme="minorEastAsia" w:eastAsiaTheme="minorEastAsia" w:cstheme="minorEastAsia"/>
          <w:b/>
          <w:sz w:val="30"/>
          <w:szCs w:val="30"/>
        </w:rPr>
      </w:pPr>
    </w:p>
    <w:p>
      <w:pPr>
        <w:pStyle w:val="2"/>
        <w:jc w:val="center"/>
        <w:rPr>
          <w:rFonts w:asciiTheme="minorEastAsia" w:hAnsiTheme="minorEastAsia" w:eastAsiaTheme="minorEastAsia" w:cstheme="minorEastAsia"/>
          <w:b/>
          <w:bCs/>
          <w:sz w:val="30"/>
          <w:szCs w:val="30"/>
        </w:rPr>
      </w:pPr>
      <w:bookmarkStart w:id="2" w:name="_Toc80017518"/>
    </w:p>
    <w:p>
      <w:pPr>
        <w:pStyle w:val="2"/>
        <w:jc w:val="center"/>
        <w:rPr>
          <w:rFonts w:hint="eastAsia" w:asciiTheme="minorEastAsia" w:hAnsiTheme="minorEastAsia" w:eastAsiaTheme="minorEastAsia" w:cstheme="minorEastAsia"/>
          <w:b/>
          <w:bCs/>
          <w:sz w:val="30"/>
          <w:szCs w:val="30"/>
        </w:rPr>
      </w:pPr>
    </w:p>
    <w:p>
      <w:pPr>
        <w:pStyle w:val="2"/>
        <w:jc w:val="center"/>
        <w:rPr>
          <w:rFonts w:hint="eastAsia" w:asciiTheme="minorEastAsia" w:hAnsiTheme="minorEastAsia" w:eastAsiaTheme="minorEastAsia" w:cstheme="minorEastAsia"/>
          <w:b/>
          <w:bCs/>
          <w:sz w:val="30"/>
          <w:szCs w:val="30"/>
        </w:rPr>
      </w:pPr>
    </w:p>
    <w:p>
      <w:pPr>
        <w:pStyle w:val="2"/>
        <w:jc w:val="center"/>
        <w:rPr>
          <w:rFonts w:hint="eastAsia" w:asciiTheme="minorEastAsia" w:hAnsiTheme="minorEastAsia" w:eastAsiaTheme="minorEastAsia" w:cstheme="minorEastAsia"/>
          <w:b/>
          <w:bCs/>
          <w:sz w:val="30"/>
          <w:szCs w:val="30"/>
        </w:rPr>
      </w:pPr>
    </w:p>
    <w:p>
      <w:pPr>
        <w:pStyle w:val="2"/>
        <w:jc w:val="center"/>
        <w:rPr>
          <w:rFonts w:hint="eastAsia" w:asciiTheme="minorEastAsia" w:hAnsiTheme="minorEastAsia" w:eastAsiaTheme="minorEastAsia" w:cstheme="minorEastAsia"/>
          <w:b/>
          <w:bCs/>
          <w:sz w:val="30"/>
          <w:szCs w:val="30"/>
        </w:rPr>
      </w:pPr>
    </w:p>
    <w:p>
      <w:pPr>
        <w:pStyle w:val="2"/>
        <w:jc w:val="center"/>
        <w:rPr>
          <w:rFonts w:hint="eastAsia" w:asciiTheme="minorEastAsia" w:hAnsiTheme="minorEastAsia" w:eastAsiaTheme="minorEastAsia" w:cstheme="minorEastAsia"/>
          <w:b/>
          <w:bCs/>
          <w:sz w:val="30"/>
          <w:szCs w:val="30"/>
        </w:rPr>
      </w:pPr>
    </w:p>
    <w:bookmarkEnd w:id="2"/>
    <w:p>
      <w:pPr>
        <w:pStyle w:val="20"/>
        <w:ind w:firstLine="2108" w:firstLineChars="700"/>
        <w:rPr>
          <w:rFonts w:hint="eastAsia" w:asciiTheme="minorEastAsia" w:hAnsiTheme="minorEastAsia" w:eastAsiaTheme="minorEastAsia" w:cstheme="minorEastAsia"/>
          <w:b/>
          <w:bCs/>
          <w:sz w:val="30"/>
          <w:szCs w:val="30"/>
        </w:rPr>
      </w:pPr>
    </w:p>
    <w:p>
      <w:pPr>
        <w:pStyle w:val="20"/>
        <w:ind w:firstLine="2108" w:firstLineChars="700"/>
        <w:rPr>
          <w:rFonts w:hint="eastAsia" w:asciiTheme="minorEastAsia" w:hAnsiTheme="minorEastAsia" w:eastAsiaTheme="minorEastAsia" w:cstheme="minorEastAsia"/>
          <w:b/>
          <w:bCs/>
          <w:sz w:val="30"/>
          <w:szCs w:val="30"/>
        </w:rPr>
      </w:pPr>
    </w:p>
    <w:p>
      <w:pPr>
        <w:pStyle w:val="20"/>
        <w:ind w:firstLine="2108" w:firstLineChars="700"/>
        <w:rPr>
          <w:rFonts w:hint="eastAsia" w:asciiTheme="minorEastAsia" w:hAnsiTheme="minorEastAsia" w:eastAsiaTheme="minorEastAsia" w:cstheme="minorEastAsia"/>
          <w:b/>
          <w:bCs/>
          <w:sz w:val="30"/>
          <w:szCs w:val="30"/>
        </w:rPr>
      </w:pPr>
    </w:p>
    <w:p>
      <w:pPr>
        <w:pStyle w:val="20"/>
        <w:ind w:firstLine="2108" w:firstLineChars="700"/>
        <w:rPr>
          <w:rFonts w:hint="eastAsia" w:asciiTheme="minorEastAsia" w:hAnsiTheme="minorEastAsia" w:eastAsiaTheme="minorEastAsia" w:cstheme="minorEastAsia"/>
          <w:b/>
          <w:bCs/>
          <w:sz w:val="30"/>
          <w:szCs w:val="30"/>
        </w:rPr>
      </w:pPr>
    </w:p>
    <w:p>
      <w:pPr>
        <w:pStyle w:val="20"/>
        <w:ind w:firstLine="2108" w:firstLineChars="700"/>
        <w:rPr>
          <w:rFonts w:hint="eastAsia" w:asciiTheme="minorEastAsia" w:hAnsiTheme="minorEastAsia" w:eastAsiaTheme="minorEastAsia" w:cstheme="minorEastAsia"/>
          <w:b/>
          <w:bCs/>
          <w:sz w:val="30"/>
          <w:szCs w:val="30"/>
        </w:rPr>
      </w:pPr>
    </w:p>
    <w:p>
      <w:pPr>
        <w:pStyle w:val="20"/>
        <w:ind w:firstLine="2108" w:firstLineChars="700"/>
        <w:rPr>
          <w:rFonts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第</w:t>
      </w:r>
      <w:r>
        <w:rPr>
          <w:rFonts w:hint="eastAsia" w:asciiTheme="minorEastAsia" w:hAnsiTheme="minorEastAsia" w:eastAsiaTheme="minorEastAsia" w:cstheme="minorEastAsia"/>
          <w:b/>
          <w:bCs/>
          <w:sz w:val="30"/>
          <w:szCs w:val="30"/>
          <w:lang w:val="en-US" w:eastAsia="zh-CN"/>
        </w:rPr>
        <w:t>一</w:t>
      </w:r>
      <w:r>
        <w:rPr>
          <w:rFonts w:hint="eastAsia" w:asciiTheme="minorEastAsia" w:hAnsiTheme="minorEastAsia" w:eastAsiaTheme="minorEastAsia" w:cstheme="minorEastAsia"/>
          <w:b/>
          <w:bCs/>
          <w:sz w:val="30"/>
          <w:szCs w:val="30"/>
        </w:rPr>
        <w:t>章  比选人资格证明文件</w:t>
      </w:r>
    </w:p>
    <w:p>
      <w:pPr>
        <w:spacing w:line="360" w:lineRule="auto"/>
        <w:ind w:firstLine="576" w:firstLineChars="192"/>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1、</w:t>
      </w:r>
      <w:r>
        <w:rPr>
          <w:rFonts w:hint="eastAsia" w:asciiTheme="minorEastAsia" w:hAnsiTheme="minorEastAsia" w:eastAsiaTheme="minorEastAsia" w:cstheme="minorEastAsia"/>
          <w:sz w:val="30"/>
          <w:szCs w:val="30"/>
        </w:rPr>
        <w:t>营业执照副本复印件或事业单位法人证书（注：①在有效期内；②具有独立法人资格；③复印件加盖公章。）</w:t>
      </w:r>
    </w:p>
    <w:p>
      <w:pPr>
        <w:spacing w:line="360" w:lineRule="auto"/>
        <w:ind w:firstLine="576" w:firstLineChars="192"/>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2、</w:t>
      </w:r>
      <w:r>
        <w:rPr>
          <w:rFonts w:hint="eastAsia" w:asciiTheme="minorEastAsia" w:hAnsiTheme="minorEastAsia" w:eastAsiaTheme="minorEastAsia" w:cstheme="minorEastAsia"/>
          <w:sz w:val="30"/>
          <w:szCs w:val="30"/>
        </w:rPr>
        <w:t>银行出具的资信证明。</w:t>
      </w:r>
    </w:p>
    <w:p>
      <w:pPr>
        <w:numPr>
          <w:ilvl w:val="0"/>
          <w:numId w:val="1"/>
        </w:numPr>
        <w:spacing w:line="360" w:lineRule="auto"/>
        <w:ind w:firstLine="576" w:firstLineChars="192"/>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rPr>
        <w:t>具备良好商业信誉的证明材料</w:t>
      </w:r>
      <w:r>
        <w:rPr>
          <w:rFonts w:hint="eastAsia" w:asciiTheme="minorEastAsia" w:hAnsiTheme="minorEastAsia" w:eastAsiaTheme="minorEastAsia" w:cstheme="minorEastAsia"/>
          <w:sz w:val="30"/>
          <w:szCs w:val="30"/>
          <w:lang w:eastAsia="zh-CN"/>
        </w:rPr>
        <w:t>。</w:t>
      </w:r>
    </w:p>
    <w:p>
      <w:pPr>
        <w:numPr>
          <w:ilvl w:val="0"/>
          <w:numId w:val="0"/>
        </w:numPr>
        <w:spacing w:line="360" w:lineRule="auto"/>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4、</w:t>
      </w:r>
      <w:r>
        <w:rPr>
          <w:rFonts w:hint="eastAsia" w:asciiTheme="minorEastAsia" w:hAnsiTheme="minorEastAsia" w:eastAsiaTheme="minorEastAsia" w:cstheme="minorEastAsia"/>
          <w:sz w:val="30"/>
          <w:szCs w:val="30"/>
        </w:rPr>
        <w:t>截止比选日期前十个月内任意一个月的依法缴纳税收及社会保障资金证明，不能提供的应提供相关主管部门出具的证明材料。</w:t>
      </w:r>
    </w:p>
    <w:p>
      <w:pPr>
        <w:spacing w:line="360" w:lineRule="auto"/>
        <w:ind w:firstLine="576" w:firstLineChars="192"/>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val="en-US" w:eastAsia="zh-CN"/>
        </w:rPr>
        <w:t>5、</w:t>
      </w:r>
      <w:r>
        <w:rPr>
          <w:rFonts w:hint="eastAsia" w:asciiTheme="minorEastAsia" w:hAnsiTheme="minorEastAsia" w:eastAsiaTheme="minorEastAsia" w:cstheme="minorEastAsia"/>
          <w:sz w:val="30"/>
          <w:szCs w:val="30"/>
        </w:rPr>
        <w:t>具备履行合同所必需的设备和专业技术能力的证明材料</w:t>
      </w:r>
      <w:r>
        <w:rPr>
          <w:rFonts w:hint="eastAsia" w:asciiTheme="minorEastAsia" w:hAnsiTheme="minorEastAsia" w:eastAsiaTheme="minorEastAsia" w:cstheme="minorEastAsia"/>
          <w:sz w:val="30"/>
          <w:szCs w:val="30"/>
          <w:lang w:eastAsia="zh-CN"/>
        </w:rPr>
        <w:t>。</w:t>
      </w:r>
    </w:p>
    <w:p>
      <w:pPr>
        <w:spacing w:line="360" w:lineRule="auto"/>
        <w:ind w:firstLine="576" w:firstLineChars="192"/>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val="en-US" w:eastAsia="zh-CN"/>
        </w:rPr>
        <w:t>6、</w:t>
      </w:r>
      <w:r>
        <w:rPr>
          <w:rFonts w:hint="eastAsia" w:asciiTheme="minorEastAsia" w:hAnsiTheme="minorEastAsia" w:eastAsiaTheme="minorEastAsia" w:cstheme="minorEastAsia"/>
          <w:sz w:val="30"/>
          <w:szCs w:val="30"/>
        </w:rPr>
        <w:t>参加政府采购活动前 2 年内在经营活动中没有重大违法记录的承诺函</w:t>
      </w:r>
      <w:r>
        <w:rPr>
          <w:rFonts w:hint="eastAsia" w:asciiTheme="minorEastAsia" w:hAnsiTheme="minorEastAsia" w:eastAsiaTheme="minorEastAsia" w:cstheme="minorEastAsia"/>
          <w:sz w:val="30"/>
          <w:szCs w:val="30"/>
          <w:lang w:eastAsia="zh-CN"/>
        </w:rPr>
        <w:t>。</w:t>
      </w:r>
    </w:p>
    <w:p>
      <w:pPr>
        <w:spacing w:line="360" w:lineRule="auto"/>
        <w:ind w:firstLine="576" w:firstLineChars="192"/>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val="en-US" w:eastAsia="zh-CN"/>
        </w:rPr>
        <w:t>7、</w:t>
      </w:r>
      <w:r>
        <w:rPr>
          <w:rFonts w:hint="eastAsia" w:asciiTheme="minorEastAsia" w:hAnsiTheme="minorEastAsia" w:eastAsiaTheme="minorEastAsia" w:cstheme="minorEastAsia"/>
          <w:sz w:val="30"/>
          <w:szCs w:val="30"/>
        </w:rPr>
        <w:t>具备法律、行政法规规定的其他条件的证明材料</w:t>
      </w:r>
      <w:r>
        <w:rPr>
          <w:rFonts w:hint="eastAsia" w:asciiTheme="minorEastAsia" w:hAnsiTheme="minorEastAsia" w:eastAsiaTheme="minorEastAsia" w:cstheme="minorEastAsia"/>
          <w:sz w:val="30"/>
          <w:szCs w:val="30"/>
          <w:lang w:eastAsia="zh-CN"/>
        </w:rPr>
        <w:t>。</w:t>
      </w:r>
    </w:p>
    <w:p>
      <w:pPr>
        <w:spacing w:line="360" w:lineRule="auto"/>
        <w:ind w:firstLine="576" w:firstLineChars="192"/>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val="en-US" w:eastAsia="zh-CN"/>
        </w:rPr>
        <w:t>8、</w:t>
      </w:r>
      <w:r>
        <w:rPr>
          <w:rFonts w:hint="eastAsia" w:asciiTheme="minorEastAsia" w:hAnsiTheme="minorEastAsia" w:eastAsiaTheme="minorEastAsia" w:cstheme="minorEastAsia"/>
          <w:sz w:val="30"/>
          <w:szCs w:val="30"/>
        </w:rPr>
        <w:t>被授权代表的身份证明文件复印件</w:t>
      </w:r>
      <w:r>
        <w:rPr>
          <w:rFonts w:hint="eastAsia" w:asciiTheme="minorEastAsia" w:hAnsiTheme="minorEastAsia" w:eastAsiaTheme="minorEastAsia" w:cstheme="minorEastAsia"/>
          <w:sz w:val="30"/>
          <w:szCs w:val="30"/>
          <w:lang w:eastAsia="zh-CN"/>
        </w:rPr>
        <w:t>。</w:t>
      </w:r>
    </w:p>
    <w:p>
      <w:pPr>
        <w:spacing w:line="360" w:lineRule="auto"/>
        <w:ind w:firstLine="576" w:firstLineChars="192"/>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9、</w:t>
      </w:r>
      <w:r>
        <w:rPr>
          <w:rFonts w:hint="eastAsia" w:asciiTheme="minorEastAsia" w:hAnsiTheme="minorEastAsia" w:eastAsiaTheme="minorEastAsia" w:cstheme="minorEastAsia"/>
          <w:sz w:val="30"/>
          <w:szCs w:val="30"/>
        </w:rPr>
        <w:t>比选人近两年以来具有2个及以上的同类</w:t>
      </w:r>
      <w:r>
        <w:rPr>
          <w:rFonts w:hint="eastAsia" w:asciiTheme="minorEastAsia" w:hAnsiTheme="minorEastAsia" w:eastAsiaTheme="minorEastAsia" w:cstheme="minorEastAsia"/>
          <w:bCs/>
          <w:sz w:val="30"/>
          <w:szCs w:val="30"/>
        </w:rPr>
        <w:t>放射设备</w:t>
      </w:r>
      <w:r>
        <w:rPr>
          <w:rFonts w:hint="eastAsia" w:asciiTheme="minorEastAsia" w:hAnsiTheme="minorEastAsia" w:eastAsiaTheme="minorEastAsia" w:cstheme="minorEastAsia"/>
          <w:sz w:val="30"/>
          <w:szCs w:val="30"/>
        </w:rPr>
        <w:t>维护保养服务业绩的证明。（提供合同复印件）。</w:t>
      </w:r>
    </w:p>
    <w:p>
      <w:pPr>
        <w:spacing w:line="360" w:lineRule="auto"/>
        <w:ind w:firstLine="576" w:firstLineChars="192"/>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说明：</w:t>
      </w:r>
    </w:p>
    <w:p>
      <w:pPr>
        <w:spacing w:line="360" w:lineRule="auto"/>
        <w:ind w:firstLine="578" w:firstLineChars="192"/>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1）比选人提供的以上资格证明材料为复印件的均应加盖比选人公章。</w:t>
      </w:r>
    </w:p>
    <w:p>
      <w:pPr>
        <w:pStyle w:val="20"/>
        <w:ind w:firstLine="602"/>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2）比选人应对其所提供的资格证明材料来源的合法性、真实性负责。</w:t>
      </w:r>
    </w:p>
    <w:p>
      <w:pPr>
        <w:pStyle w:val="3"/>
        <w:tabs>
          <w:tab w:val="left" w:pos="425"/>
        </w:tabs>
        <w:jc w:val="center"/>
        <w:rPr>
          <w:rFonts w:asciiTheme="minorEastAsia" w:hAnsiTheme="minorEastAsia" w:eastAsiaTheme="minorEastAsia" w:cstheme="minorEastAsia"/>
          <w:szCs w:val="30"/>
        </w:rPr>
      </w:pPr>
      <w:bookmarkStart w:id="3" w:name="_Toc80017519"/>
      <w:r>
        <w:rPr>
          <w:rFonts w:hint="eastAsia" w:asciiTheme="minorEastAsia" w:hAnsiTheme="minorEastAsia" w:eastAsiaTheme="minorEastAsia" w:cstheme="minorEastAsia"/>
          <w:szCs w:val="30"/>
        </w:rPr>
        <w:t>第</w:t>
      </w:r>
      <w:r>
        <w:rPr>
          <w:rFonts w:hint="eastAsia" w:asciiTheme="minorEastAsia" w:hAnsiTheme="minorEastAsia" w:eastAsiaTheme="minorEastAsia" w:cstheme="minorEastAsia"/>
          <w:szCs w:val="30"/>
          <w:lang w:val="en-US" w:eastAsia="zh-CN"/>
        </w:rPr>
        <w:t>二</w:t>
      </w:r>
      <w:r>
        <w:rPr>
          <w:rFonts w:hint="eastAsia" w:asciiTheme="minorEastAsia" w:hAnsiTheme="minorEastAsia" w:eastAsiaTheme="minorEastAsia" w:cstheme="minorEastAsia"/>
          <w:szCs w:val="30"/>
        </w:rPr>
        <w:t>章  服务技术、商务条件说明</w:t>
      </w:r>
      <w:bookmarkEnd w:id="3"/>
      <w:bookmarkStart w:id="4" w:name="_Toc257280877"/>
    </w:p>
    <w:bookmarkEnd w:id="4"/>
    <w:p>
      <w:pPr>
        <w:tabs>
          <w:tab w:val="left" w:pos="7665"/>
        </w:tabs>
        <w:spacing w:line="560" w:lineRule="exact"/>
        <w:ind w:firstLine="602" w:firstLineChars="200"/>
        <w:rPr>
          <w:rFonts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一﹑</w:t>
      </w:r>
      <w:r>
        <w:rPr>
          <w:rFonts w:hint="eastAsia" w:asciiTheme="minorEastAsia" w:hAnsiTheme="minorEastAsia" w:eastAsiaTheme="minorEastAsia" w:cstheme="minorEastAsia"/>
          <w:b/>
          <w:bCs/>
          <w:sz w:val="30"/>
          <w:szCs w:val="30"/>
          <w:lang w:val="en-US" w:eastAsia="zh-CN"/>
        </w:rPr>
        <w:t>维保</w:t>
      </w:r>
      <w:r>
        <w:rPr>
          <w:rFonts w:hint="eastAsia" w:asciiTheme="minorEastAsia" w:hAnsiTheme="minorEastAsia" w:eastAsiaTheme="minorEastAsia" w:cstheme="minorEastAsia"/>
          <w:b/>
          <w:bCs/>
          <w:sz w:val="30"/>
          <w:szCs w:val="30"/>
        </w:rPr>
        <w:t>服务内容：</w:t>
      </w:r>
    </w:p>
    <w:p>
      <w:pPr>
        <w:numPr>
          <w:ilvl w:val="0"/>
          <w:numId w:val="0"/>
        </w:numPr>
        <w:tabs>
          <w:tab w:val="left" w:pos="7665"/>
        </w:tabs>
        <w:spacing w:line="56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1、2台CT(</w:t>
      </w:r>
      <w:r>
        <w:rPr>
          <w:rFonts w:hint="eastAsia" w:asciiTheme="minorEastAsia" w:hAnsiTheme="minorEastAsia" w:eastAsiaTheme="minorEastAsia" w:cstheme="minorEastAsia"/>
          <w:sz w:val="30"/>
          <w:szCs w:val="30"/>
        </w:rPr>
        <w:t>CT Britht speedELite</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OptimaCT670</w:t>
      </w:r>
      <w:r>
        <w:rPr>
          <w:rFonts w:hint="eastAsia" w:asciiTheme="minorEastAsia" w:hAnsiTheme="minorEastAsia" w:eastAsiaTheme="minorEastAsia" w:cstheme="minorEastAsia"/>
          <w:sz w:val="30"/>
          <w:szCs w:val="30"/>
          <w:lang w:val="en-US" w:eastAsia="zh-CN"/>
        </w:rPr>
        <w:t>)含（高压注射器）</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1台</w:t>
      </w:r>
      <w:r>
        <w:rPr>
          <w:rFonts w:hint="eastAsia" w:asciiTheme="minorEastAsia" w:hAnsiTheme="minorEastAsia" w:eastAsiaTheme="minorEastAsia" w:cstheme="minorEastAsia"/>
          <w:sz w:val="30"/>
          <w:szCs w:val="30"/>
        </w:rPr>
        <w:t>飞利浦DSA</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含高压注射器</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1台</w:t>
      </w:r>
      <w:r>
        <w:rPr>
          <w:rFonts w:hint="eastAsia" w:asciiTheme="minorEastAsia" w:hAnsiTheme="minorEastAsia" w:eastAsiaTheme="minorEastAsia" w:cstheme="minorEastAsia"/>
          <w:sz w:val="30"/>
          <w:szCs w:val="30"/>
        </w:rPr>
        <w:t>上海康达数字胃肠</w:t>
      </w:r>
      <w:r>
        <w:rPr>
          <w:rFonts w:hint="eastAsia" w:asciiTheme="minorEastAsia" w:hAnsiTheme="minorEastAsia" w:eastAsiaTheme="minorEastAsia" w:cstheme="minorEastAsia"/>
          <w:sz w:val="30"/>
          <w:szCs w:val="30"/>
          <w:lang w:val="en-US" w:eastAsia="zh-CN"/>
        </w:rPr>
        <w:t>机</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2台</w:t>
      </w:r>
      <w:r>
        <w:rPr>
          <w:rFonts w:hint="eastAsia" w:asciiTheme="minorEastAsia" w:hAnsiTheme="minorEastAsia" w:eastAsiaTheme="minorEastAsia" w:cstheme="minorEastAsia"/>
          <w:sz w:val="30"/>
          <w:szCs w:val="30"/>
        </w:rPr>
        <w:t>DR</w:t>
      </w:r>
      <w:r>
        <w:rPr>
          <w:rFonts w:hint="eastAsia" w:asciiTheme="minorEastAsia" w:hAnsiTheme="minorEastAsia" w:eastAsiaTheme="minorEastAsia" w:cstheme="minorEastAsia"/>
          <w:sz w:val="30"/>
          <w:szCs w:val="30"/>
          <w:lang w:eastAsia="zh-CN"/>
        </w:rPr>
        <w:t>。</w:t>
      </w:r>
    </w:p>
    <w:p>
      <w:pPr>
        <w:numPr>
          <w:ilvl w:val="0"/>
          <w:numId w:val="0"/>
        </w:numPr>
        <w:tabs>
          <w:tab w:val="left" w:pos="7665"/>
        </w:tabs>
        <w:spacing w:line="56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2、</w:t>
      </w:r>
      <w:r>
        <w:rPr>
          <w:rFonts w:hint="eastAsia" w:asciiTheme="minorEastAsia" w:hAnsiTheme="minorEastAsia" w:eastAsiaTheme="minorEastAsia" w:cstheme="minorEastAsia"/>
          <w:sz w:val="30"/>
          <w:szCs w:val="30"/>
        </w:rPr>
        <w:t>彩超主机飞利浦i</w:t>
      </w:r>
      <w:r>
        <w:rPr>
          <w:rFonts w:hint="eastAsia" w:asciiTheme="minorEastAsia" w:hAnsiTheme="minorEastAsia" w:eastAsiaTheme="minorEastAsia" w:cstheme="minorEastAsia"/>
          <w:sz w:val="30"/>
          <w:szCs w:val="30"/>
          <w:lang w:val="en-US" w:eastAsia="zh-CN"/>
        </w:rPr>
        <w:t>u22和迈瑞N6各</w:t>
      </w:r>
      <w:r>
        <w:rPr>
          <w:rFonts w:hint="eastAsia" w:asciiTheme="minorEastAsia" w:hAnsiTheme="minorEastAsia" w:eastAsiaTheme="minorEastAsia" w:cstheme="minorEastAsia"/>
          <w:sz w:val="30"/>
          <w:szCs w:val="30"/>
        </w:rPr>
        <w:t>1台</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均包括探头</w:t>
      </w:r>
      <w:r>
        <w:rPr>
          <w:rFonts w:hint="eastAsia" w:asciiTheme="minorEastAsia" w:hAnsiTheme="minorEastAsia" w:eastAsiaTheme="minorEastAsia" w:cstheme="minorEastAsia"/>
          <w:sz w:val="30"/>
          <w:szCs w:val="30"/>
        </w:rPr>
        <w:t>。</w:t>
      </w:r>
    </w:p>
    <w:p>
      <w:pPr>
        <w:numPr>
          <w:ilvl w:val="0"/>
          <w:numId w:val="0"/>
        </w:numPr>
        <w:tabs>
          <w:tab w:val="left" w:pos="7665"/>
        </w:tabs>
        <w:spacing w:line="56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3、</w:t>
      </w:r>
      <w:r>
        <w:rPr>
          <w:rFonts w:hint="eastAsia" w:asciiTheme="minorEastAsia" w:hAnsiTheme="minorEastAsia" w:eastAsiaTheme="minorEastAsia" w:cstheme="minorEastAsia"/>
          <w:sz w:val="30"/>
          <w:szCs w:val="30"/>
        </w:rPr>
        <w:t>富士胃肠镜（2条胃镜，1条肠镜）</w:t>
      </w:r>
      <w:r>
        <w:rPr>
          <w:rFonts w:hint="eastAsia" w:asciiTheme="minorEastAsia" w:hAnsiTheme="minorEastAsia" w:eastAsiaTheme="minorEastAsia" w:cstheme="minorEastAsia"/>
          <w:sz w:val="30"/>
          <w:szCs w:val="30"/>
          <w:lang w:eastAsia="zh-CN"/>
        </w:rPr>
        <w:t>。</w:t>
      </w:r>
    </w:p>
    <w:p>
      <w:pPr>
        <w:tabs>
          <w:tab w:val="left" w:pos="7665"/>
        </w:tabs>
        <w:spacing w:line="560" w:lineRule="exact"/>
        <w:ind w:firstLine="600" w:firstLineChars="200"/>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val="en-US" w:eastAsia="zh-CN"/>
        </w:rPr>
        <w:t>4、</w:t>
      </w:r>
      <w:r>
        <w:rPr>
          <w:rFonts w:hint="eastAsia" w:asciiTheme="minorEastAsia" w:hAnsiTheme="minorEastAsia" w:eastAsiaTheme="minorEastAsia" w:cstheme="minorEastAsia"/>
          <w:sz w:val="30"/>
          <w:szCs w:val="30"/>
        </w:rPr>
        <w:t>奥林巴斯电子腹腔镜维修，型号： WA50012A</w:t>
      </w:r>
      <w:r>
        <w:rPr>
          <w:rFonts w:hint="eastAsia" w:asciiTheme="minorEastAsia" w:hAnsiTheme="minorEastAsia" w:eastAsiaTheme="minorEastAsia" w:cstheme="minorEastAsia"/>
          <w:sz w:val="30"/>
          <w:szCs w:val="30"/>
          <w:lang w:eastAsia="zh-CN"/>
        </w:rPr>
        <w:t>。</w:t>
      </w:r>
    </w:p>
    <w:p>
      <w:pPr>
        <w:tabs>
          <w:tab w:val="left" w:pos="7665"/>
        </w:tabs>
        <w:spacing w:line="560" w:lineRule="exact"/>
        <w:ind w:firstLine="602" w:firstLineChars="200"/>
        <w:rPr>
          <w:rFonts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二﹑技术要求：</w:t>
      </w:r>
    </w:p>
    <w:p>
      <w:pPr>
        <w:tabs>
          <w:tab w:val="left" w:pos="7665"/>
        </w:tabs>
        <w:spacing w:line="560" w:lineRule="exact"/>
        <w:ind w:firstLine="492" w:firstLineChars="200"/>
        <w:rPr>
          <w:rFonts w:asciiTheme="minorEastAsia" w:hAnsiTheme="minorEastAsia" w:eastAsiaTheme="minorEastAsia" w:cstheme="minorEastAsia"/>
          <w:sz w:val="30"/>
          <w:szCs w:val="30"/>
        </w:rPr>
      </w:pPr>
      <w:r>
        <w:rPr>
          <w:rFonts w:hint="eastAsia" w:ascii="等线 Light" w:hAnsi="等线 Light" w:eastAsia="等线 Light" w:cs="等线 Light"/>
          <w:spacing w:val="3"/>
          <w:sz w:val="24"/>
        </w:rPr>
        <w:t>▲</w:t>
      </w:r>
      <w:r>
        <w:rPr>
          <w:rFonts w:hint="eastAsia" w:asciiTheme="minorEastAsia" w:hAnsiTheme="minorEastAsia" w:eastAsiaTheme="minorEastAsia" w:cstheme="minorEastAsia"/>
          <w:sz w:val="30"/>
          <w:szCs w:val="30"/>
        </w:rPr>
        <w:t>1、每年度定期校准和保养四次</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节假日或医院临时指定的时间除外</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，定期保养包括机器清洁、性能测试及校准、机械或电气的检查、软件的正常维护</w:t>
      </w:r>
      <w:r>
        <w:rPr>
          <w:rFonts w:hint="eastAsia" w:asciiTheme="minorEastAsia" w:hAnsiTheme="minorEastAsia" w:eastAsiaTheme="minorEastAsia" w:cstheme="minorEastAsia"/>
          <w:sz w:val="30"/>
          <w:szCs w:val="30"/>
          <w:lang w:val="en-US" w:eastAsia="zh-CN"/>
        </w:rPr>
        <w:t>升级</w:t>
      </w:r>
      <w:r>
        <w:rPr>
          <w:rFonts w:hint="eastAsia" w:asciiTheme="minorEastAsia" w:hAnsiTheme="minorEastAsia" w:eastAsiaTheme="minorEastAsia" w:cstheme="minorEastAsia"/>
          <w:sz w:val="30"/>
          <w:szCs w:val="30"/>
        </w:rPr>
        <w:t>、非紧急性质的补救性维修和确保系统正常运行的其它服务。并提供详细书面保养报告。特殊情况时，采购方有权要求成交</w:t>
      </w:r>
      <w:r>
        <w:rPr>
          <w:rFonts w:hint="eastAsia" w:asciiTheme="minorEastAsia" w:hAnsiTheme="minorEastAsia" w:eastAsiaTheme="minorEastAsia" w:cstheme="minorEastAsia"/>
          <w:sz w:val="30"/>
          <w:szCs w:val="30"/>
          <w:lang w:val="en-US" w:eastAsia="zh-CN"/>
        </w:rPr>
        <w:t>服务商</w:t>
      </w:r>
      <w:r>
        <w:rPr>
          <w:rFonts w:hint="eastAsia" w:asciiTheme="minorEastAsia" w:hAnsiTheme="minorEastAsia" w:eastAsiaTheme="minorEastAsia" w:cstheme="minorEastAsia"/>
          <w:sz w:val="30"/>
          <w:szCs w:val="30"/>
        </w:rPr>
        <w:t>临时安排保养服务，成交</w:t>
      </w:r>
      <w:r>
        <w:rPr>
          <w:rFonts w:hint="eastAsia" w:asciiTheme="minorEastAsia" w:hAnsiTheme="minorEastAsia" w:eastAsiaTheme="minorEastAsia" w:cstheme="minorEastAsia"/>
          <w:sz w:val="30"/>
          <w:szCs w:val="30"/>
          <w:lang w:val="en-US" w:eastAsia="zh-CN"/>
        </w:rPr>
        <w:t>服务商</w:t>
      </w:r>
      <w:r>
        <w:rPr>
          <w:rFonts w:hint="eastAsia" w:asciiTheme="minorEastAsia" w:hAnsiTheme="minorEastAsia" w:eastAsiaTheme="minorEastAsia" w:cstheme="minorEastAsia"/>
          <w:sz w:val="30"/>
          <w:szCs w:val="30"/>
        </w:rPr>
        <w:t>应予以配合执行。</w:t>
      </w:r>
    </w:p>
    <w:p>
      <w:pPr>
        <w:tabs>
          <w:tab w:val="left" w:pos="7665"/>
        </w:tabs>
        <w:spacing w:line="560" w:lineRule="exact"/>
        <w:ind w:firstLine="600" w:firstLineChars="200"/>
        <w:rPr>
          <w:rFonts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rPr>
        <w:t>2、提供</w:t>
      </w:r>
      <w:r>
        <w:rPr>
          <w:rFonts w:hint="eastAsia" w:asciiTheme="minorEastAsia" w:hAnsiTheme="minorEastAsia" w:eastAsiaTheme="minorEastAsia" w:cstheme="minorEastAsia"/>
          <w:sz w:val="30"/>
          <w:szCs w:val="30"/>
          <w:lang w:val="en-US" w:eastAsia="zh-CN"/>
        </w:rPr>
        <w:t>必要的</w:t>
      </w:r>
      <w:r>
        <w:rPr>
          <w:rFonts w:hint="eastAsia" w:asciiTheme="minorEastAsia" w:hAnsiTheme="minorEastAsia" w:eastAsiaTheme="minorEastAsia" w:cstheme="minorEastAsia"/>
          <w:sz w:val="30"/>
          <w:szCs w:val="30"/>
        </w:rPr>
        <w:t>的设备人工技术服务，</w:t>
      </w:r>
      <w:r>
        <w:rPr>
          <w:rFonts w:hint="eastAsia" w:asciiTheme="minorEastAsia" w:hAnsiTheme="minorEastAsia" w:eastAsiaTheme="minorEastAsia" w:cstheme="minorEastAsia"/>
          <w:sz w:val="30"/>
          <w:szCs w:val="30"/>
          <w:lang w:val="en-US" w:eastAsia="zh-CN"/>
        </w:rPr>
        <w:t>配</w:t>
      </w:r>
      <w:r>
        <w:rPr>
          <w:rFonts w:hint="eastAsia" w:asciiTheme="minorEastAsia" w:hAnsiTheme="minorEastAsia" w:eastAsiaTheme="minorEastAsia" w:cstheme="minorEastAsia"/>
          <w:sz w:val="30"/>
          <w:szCs w:val="30"/>
        </w:rPr>
        <w:t>件≤5000 元/个免费更换，</w:t>
      </w:r>
      <w:r>
        <w:rPr>
          <w:rFonts w:hint="eastAsia" w:asciiTheme="minorEastAsia" w:hAnsiTheme="minorEastAsia" w:eastAsiaTheme="minorEastAsia" w:cstheme="minorEastAsia"/>
          <w:sz w:val="30"/>
          <w:szCs w:val="30"/>
          <w:highlight w:val="none"/>
          <w:lang w:val="en-US" w:eastAsia="zh-CN"/>
        </w:rPr>
        <w:t>合同期内一切</w:t>
      </w:r>
      <w:r>
        <w:rPr>
          <w:rFonts w:hint="eastAsia" w:asciiTheme="minorEastAsia" w:hAnsiTheme="minorEastAsia" w:eastAsiaTheme="minorEastAsia" w:cstheme="minorEastAsia"/>
          <w:sz w:val="30"/>
          <w:szCs w:val="30"/>
          <w:highlight w:val="none"/>
        </w:rPr>
        <w:t>费用由供应商自行承担</w:t>
      </w:r>
      <w:r>
        <w:rPr>
          <w:rFonts w:hint="eastAsia" w:asciiTheme="minorEastAsia" w:hAnsiTheme="minorEastAsia" w:eastAsiaTheme="minorEastAsia" w:cstheme="minorEastAsia"/>
          <w:sz w:val="30"/>
          <w:szCs w:val="30"/>
          <w:highlight w:val="none"/>
          <w:lang w:eastAsia="zh-CN"/>
        </w:rPr>
        <w:t>。</w:t>
      </w:r>
    </w:p>
    <w:p>
      <w:pPr>
        <w:tabs>
          <w:tab w:val="left" w:pos="7665"/>
        </w:tabs>
        <w:spacing w:line="560" w:lineRule="exact"/>
        <w:ind w:firstLine="492" w:firstLineChars="200"/>
        <w:rPr>
          <w:rFonts w:hint="eastAsia" w:asciiTheme="minorEastAsia" w:hAnsiTheme="minorEastAsia" w:eastAsiaTheme="minorEastAsia" w:cstheme="minorEastAsia"/>
          <w:sz w:val="30"/>
          <w:szCs w:val="30"/>
        </w:rPr>
      </w:pPr>
      <w:r>
        <w:rPr>
          <w:rFonts w:hint="eastAsia" w:ascii="等线 Light" w:hAnsi="等线 Light" w:eastAsia="等线 Light" w:cs="等线 Light"/>
          <w:spacing w:val="3"/>
          <w:sz w:val="24"/>
        </w:rPr>
        <w:t>▲</w:t>
      </w:r>
      <w:r>
        <w:rPr>
          <w:rFonts w:hint="eastAsia" w:asciiTheme="minorEastAsia" w:hAnsiTheme="minorEastAsia" w:eastAsiaTheme="minorEastAsia" w:cstheme="minorEastAsia"/>
          <w:sz w:val="30"/>
          <w:szCs w:val="30"/>
        </w:rPr>
        <w:t>3、保修期内确保设备达到9</w:t>
      </w:r>
      <w:r>
        <w:rPr>
          <w:rFonts w:hint="eastAsia" w:asciiTheme="minorEastAsia" w:hAnsiTheme="minorEastAsia" w:eastAsiaTheme="minorEastAsia" w:cstheme="minorEastAsia"/>
          <w:sz w:val="30"/>
          <w:szCs w:val="30"/>
          <w:lang w:val="en-US" w:eastAsia="zh-CN"/>
        </w:rPr>
        <w:t>5</w:t>
      </w:r>
      <w:r>
        <w:rPr>
          <w:rFonts w:hint="eastAsia" w:asciiTheme="minorEastAsia" w:hAnsiTheme="minorEastAsia" w:eastAsiaTheme="minorEastAsia" w:cstheme="minorEastAsia"/>
          <w:sz w:val="30"/>
          <w:szCs w:val="30"/>
        </w:rPr>
        <w:t>%的开机率。</w:t>
      </w:r>
    </w:p>
    <w:p>
      <w:pPr>
        <w:tabs>
          <w:tab w:val="left" w:pos="7665"/>
        </w:tabs>
        <w:spacing w:line="560" w:lineRule="exact"/>
        <w:ind w:firstLine="600" w:firstLineChars="200"/>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val="en-US" w:eastAsia="zh-CN"/>
        </w:rPr>
        <w:t>4、</w:t>
      </w:r>
      <w:r>
        <w:rPr>
          <w:rFonts w:hint="eastAsia" w:asciiTheme="minorEastAsia" w:hAnsiTheme="minorEastAsia" w:eastAsiaTheme="minorEastAsia" w:cstheme="minorEastAsia"/>
          <w:sz w:val="30"/>
          <w:szCs w:val="30"/>
        </w:rPr>
        <w:t>维保期内负责系统软件的非功能性</w:t>
      </w:r>
      <w:r>
        <w:rPr>
          <w:rFonts w:hint="eastAsia" w:asciiTheme="minorEastAsia" w:hAnsiTheme="minorEastAsia" w:eastAsiaTheme="minorEastAsia" w:cstheme="minorEastAsia"/>
          <w:sz w:val="30"/>
          <w:szCs w:val="30"/>
          <w:lang w:val="en-US" w:eastAsia="zh-CN"/>
        </w:rPr>
        <w:t>及</w:t>
      </w:r>
      <w:r>
        <w:rPr>
          <w:rFonts w:hint="eastAsia" w:asciiTheme="minorEastAsia" w:hAnsiTheme="minorEastAsia" w:eastAsiaTheme="minorEastAsia" w:cstheme="minorEastAsia"/>
          <w:sz w:val="30"/>
          <w:szCs w:val="30"/>
        </w:rPr>
        <w:t>安全性升级</w:t>
      </w:r>
      <w:r>
        <w:rPr>
          <w:rFonts w:hint="eastAsia" w:asciiTheme="minorEastAsia" w:hAnsiTheme="minorEastAsia" w:eastAsiaTheme="minorEastAsia" w:cstheme="minorEastAsia"/>
          <w:sz w:val="30"/>
          <w:szCs w:val="30"/>
          <w:lang w:eastAsia="zh-CN"/>
        </w:rPr>
        <w:t>。</w:t>
      </w:r>
    </w:p>
    <w:p>
      <w:pPr>
        <w:tabs>
          <w:tab w:val="left" w:pos="7665"/>
        </w:tabs>
        <w:spacing w:line="560" w:lineRule="exact"/>
        <w:ind w:firstLine="492" w:firstLineChars="200"/>
        <w:rPr>
          <w:rFonts w:asciiTheme="minorEastAsia" w:hAnsiTheme="minorEastAsia" w:eastAsiaTheme="minorEastAsia" w:cstheme="minorEastAsia"/>
          <w:sz w:val="30"/>
          <w:szCs w:val="30"/>
        </w:rPr>
      </w:pPr>
      <w:r>
        <w:rPr>
          <w:rFonts w:hint="eastAsia" w:ascii="等线 Light" w:hAnsi="等线 Light" w:eastAsia="等线 Light" w:cs="等线 Light"/>
          <w:spacing w:val="3"/>
          <w:sz w:val="24"/>
        </w:rPr>
        <w:t>▲</w:t>
      </w:r>
      <w:r>
        <w:rPr>
          <w:rFonts w:hint="eastAsia" w:asciiTheme="minorEastAsia" w:hAnsiTheme="minorEastAsia" w:eastAsiaTheme="minorEastAsia" w:cstheme="minorEastAsia"/>
          <w:sz w:val="30"/>
          <w:szCs w:val="30"/>
          <w:lang w:val="en-US" w:eastAsia="zh-CN"/>
        </w:rPr>
        <w:t>5</w:t>
      </w:r>
      <w:r>
        <w:rPr>
          <w:rFonts w:hint="eastAsia" w:asciiTheme="minorEastAsia" w:hAnsiTheme="minorEastAsia" w:eastAsiaTheme="minorEastAsia" w:cstheme="minorEastAsia"/>
          <w:sz w:val="30"/>
          <w:szCs w:val="30"/>
        </w:rPr>
        <w:t>、</w:t>
      </w:r>
      <w:r>
        <w:rPr>
          <w:rFonts w:hint="eastAsia" w:asciiTheme="minorEastAsia" w:hAnsiTheme="minorEastAsia" w:eastAsiaTheme="minorEastAsia" w:cstheme="minorEastAsia"/>
          <w:color w:val="auto"/>
          <w:sz w:val="30"/>
          <w:szCs w:val="30"/>
          <w:highlight w:val="none"/>
        </w:rPr>
        <w:t>维保服务商应根据故障情况及时派工程师赴现场维修，其中电话响应时间≤</w:t>
      </w:r>
      <w:r>
        <w:rPr>
          <w:rFonts w:hint="eastAsia" w:asciiTheme="minorEastAsia" w:hAnsiTheme="minorEastAsia" w:eastAsiaTheme="minorEastAsia" w:cstheme="minorEastAsia"/>
          <w:color w:val="auto"/>
          <w:sz w:val="30"/>
          <w:szCs w:val="30"/>
          <w:highlight w:val="none"/>
          <w:lang w:val="en-US" w:eastAsia="zh-CN"/>
        </w:rPr>
        <w:t>3</w:t>
      </w:r>
      <w:r>
        <w:rPr>
          <w:rFonts w:hint="eastAsia" w:asciiTheme="minorEastAsia" w:hAnsiTheme="minorEastAsia" w:eastAsiaTheme="minorEastAsia" w:cstheme="minorEastAsia"/>
          <w:color w:val="auto"/>
          <w:sz w:val="30"/>
          <w:szCs w:val="30"/>
          <w:highlight w:val="none"/>
        </w:rPr>
        <w:t>0分钟，现场响应时间≤</w:t>
      </w:r>
      <w:r>
        <w:rPr>
          <w:rFonts w:hint="eastAsia" w:asciiTheme="minorEastAsia" w:hAnsiTheme="minorEastAsia" w:eastAsiaTheme="minorEastAsia" w:cstheme="minorEastAsia"/>
          <w:color w:val="auto"/>
          <w:sz w:val="30"/>
          <w:szCs w:val="30"/>
          <w:highlight w:val="none"/>
          <w:lang w:val="en-US" w:eastAsia="zh-CN"/>
        </w:rPr>
        <w:t>12</w:t>
      </w:r>
      <w:r>
        <w:rPr>
          <w:rFonts w:hint="eastAsia" w:asciiTheme="minorEastAsia" w:hAnsiTheme="minorEastAsia" w:eastAsiaTheme="minorEastAsia" w:cstheme="minorEastAsia"/>
          <w:color w:val="auto"/>
          <w:sz w:val="30"/>
          <w:szCs w:val="30"/>
          <w:highlight w:val="none"/>
        </w:rPr>
        <w:t xml:space="preserve"> 小时。单次故障在</w:t>
      </w:r>
      <w:r>
        <w:rPr>
          <w:rFonts w:hint="eastAsia" w:asciiTheme="minorEastAsia" w:hAnsiTheme="minorEastAsia" w:eastAsiaTheme="minorEastAsia" w:cstheme="minorEastAsia"/>
          <w:color w:val="auto"/>
          <w:sz w:val="30"/>
          <w:szCs w:val="30"/>
          <w:highlight w:val="none"/>
          <w:lang w:val="en-US" w:eastAsia="zh-CN"/>
        </w:rPr>
        <w:t>24</w:t>
      </w:r>
      <w:r>
        <w:rPr>
          <w:rFonts w:hint="eastAsia" w:asciiTheme="minorEastAsia" w:hAnsiTheme="minorEastAsia" w:eastAsiaTheme="minorEastAsia" w:cstheme="minorEastAsia"/>
          <w:color w:val="auto"/>
          <w:sz w:val="30"/>
          <w:szCs w:val="30"/>
          <w:highlight w:val="none"/>
        </w:rPr>
        <w:t>小时内</w:t>
      </w:r>
      <w:r>
        <w:rPr>
          <w:rFonts w:hint="eastAsia" w:asciiTheme="minorEastAsia" w:hAnsiTheme="minorEastAsia" w:eastAsiaTheme="minorEastAsia" w:cstheme="minorEastAsia"/>
          <w:color w:val="auto"/>
          <w:sz w:val="30"/>
          <w:szCs w:val="30"/>
          <w:highlight w:val="none"/>
          <w:lang w:val="en-US" w:eastAsia="zh-CN"/>
        </w:rPr>
        <w:t>恢</w:t>
      </w:r>
      <w:r>
        <w:rPr>
          <w:rFonts w:hint="eastAsia" w:asciiTheme="minorEastAsia" w:hAnsiTheme="minorEastAsia" w:eastAsiaTheme="minorEastAsia" w:cstheme="minorEastAsia"/>
          <w:color w:val="auto"/>
          <w:sz w:val="30"/>
          <w:szCs w:val="30"/>
          <w:highlight w:val="none"/>
        </w:rPr>
        <w:t>复</w:t>
      </w:r>
      <w:r>
        <w:rPr>
          <w:rFonts w:hint="eastAsia" w:asciiTheme="minorEastAsia" w:hAnsiTheme="minorEastAsia" w:eastAsiaTheme="minorEastAsia" w:cstheme="minorEastAsia"/>
          <w:color w:val="auto"/>
          <w:sz w:val="30"/>
          <w:szCs w:val="30"/>
          <w:highlight w:val="none"/>
          <w:lang w:val="en-US" w:eastAsia="zh-CN"/>
        </w:rPr>
        <w:t>正常使用</w:t>
      </w:r>
      <w:r>
        <w:rPr>
          <w:rFonts w:hint="eastAsia" w:asciiTheme="minorEastAsia" w:hAnsiTheme="minorEastAsia" w:eastAsiaTheme="minorEastAsia" w:cstheme="minorEastAsia"/>
          <w:color w:val="auto"/>
          <w:sz w:val="30"/>
          <w:szCs w:val="30"/>
          <w:highlight w:val="none"/>
        </w:rPr>
        <w:t>。</w:t>
      </w:r>
    </w:p>
    <w:p>
      <w:pPr>
        <w:tabs>
          <w:tab w:val="left" w:pos="7665"/>
        </w:tabs>
        <w:spacing w:line="560" w:lineRule="exact"/>
        <w:ind w:firstLine="492" w:firstLineChars="200"/>
        <w:rPr>
          <w:rFonts w:asciiTheme="minorEastAsia" w:hAnsiTheme="minorEastAsia" w:eastAsiaTheme="minorEastAsia" w:cstheme="minorEastAsia"/>
          <w:sz w:val="30"/>
          <w:szCs w:val="30"/>
        </w:rPr>
      </w:pPr>
      <w:r>
        <w:rPr>
          <w:rFonts w:hint="eastAsia" w:ascii="等线 Light" w:hAnsi="等线 Light" w:eastAsia="等线 Light" w:cs="等线 Light"/>
          <w:spacing w:val="3"/>
          <w:sz w:val="24"/>
        </w:rPr>
        <w:t>▲</w:t>
      </w:r>
      <w:r>
        <w:rPr>
          <w:rFonts w:hint="eastAsia" w:asciiTheme="minorEastAsia" w:hAnsiTheme="minorEastAsia" w:eastAsiaTheme="minorEastAsia" w:cstheme="minorEastAsia"/>
          <w:sz w:val="30"/>
          <w:szCs w:val="30"/>
          <w:lang w:val="en-US" w:eastAsia="zh-CN"/>
        </w:rPr>
        <w:t>6</w:t>
      </w:r>
      <w:r>
        <w:rPr>
          <w:rFonts w:hint="eastAsia" w:asciiTheme="minorEastAsia" w:hAnsiTheme="minorEastAsia" w:eastAsiaTheme="minorEastAsia" w:cstheme="minorEastAsia"/>
          <w:sz w:val="30"/>
          <w:szCs w:val="30"/>
        </w:rPr>
        <w:t>、供应商应用于日常维修维护更换的配件，必须更换原装零配件，保证正规</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来源合法</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更换5000元</w:t>
      </w:r>
      <w:r>
        <w:rPr>
          <w:rFonts w:hint="eastAsia" w:asciiTheme="minorEastAsia" w:hAnsiTheme="minorEastAsia" w:eastAsiaTheme="minorEastAsia" w:cstheme="minorEastAsia"/>
          <w:sz w:val="30"/>
          <w:szCs w:val="30"/>
          <w:highlight w:val="none"/>
        </w:rPr>
        <w:t>配件</w:t>
      </w:r>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lang w:val="en-US" w:eastAsia="zh-CN"/>
        </w:rPr>
        <w:t>双方议价</w:t>
      </w:r>
      <w:r>
        <w:rPr>
          <w:rFonts w:hint="eastAsia" w:asciiTheme="minorEastAsia" w:hAnsiTheme="minorEastAsia" w:eastAsiaTheme="minorEastAsia" w:cstheme="minorEastAsia"/>
          <w:sz w:val="30"/>
          <w:szCs w:val="30"/>
          <w:highlight w:val="none"/>
        </w:rPr>
        <w:t>更换</w:t>
      </w:r>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highlight w:val="none"/>
        </w:rPr>
        <w:t>采购方有权找中标人或其他第三方采购</w:t>
      </w:r>
      <w:r>
        <w:rPr>
          <w:rFonts w:hint="eastAsia" w:asciiTheme="minorEastAsia" w:hAnsiTheme="minorEastAsia" w:eastAsiaTheme="minorEastAsia" w:cstheme="minorEastAsia"/>
          <w:sz w:val="30"/>
          <w:szCs w:val="30"/>
          <w:highlight w:val="none"/>
          <w:lang w:eastAsia="zh-CN"/>
        </w:rPr>
        <w:t>，</w:t>
      </w:r>
      <w:r>
        <w:rPr>
          <w:rFonts w:hint="eastAsia" w:asciiTheme="minorEastAsia" w:hAnsiTheme="minorEastAsia" w:eastAsiaTheme="minorEastAsia" w:cstheme="minorEastAsia"/>
          <w:sz w:val="30"/>
          <w:szCs w:val="30"/>
          <w:lang w:val="en-US" w:eastAsia="zh-CN"/>
        </w:rPr>
        <w:t>更换配件不得带走。</w:t>
      </w:r>
    </w:p>
    <w:p>
      <w:pPr>
        <w:tabs>
          <w:tab w:val="left" w:pos="7665"/>
        </w:tabs>
        <w:spacing w:line="560" w:lineRule="exact"/>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7</w:t>
      </w:r>
      <w:r>
        <w:rPr>
          <w:rFonts w:hint="eastAsia" w:asciiTheme="minorEastAsia" w:hAnsiTheme="minorEastAsia" w:eastAsiaTheme="minorEastAsia" w:cstheme="minorEastAsia"/>
          <w:sz w:val="30"/>
          <w:szCs w:val="30"/>
        </w:rPr>
        <w:t>、供应商拟派专业的维修工程师，工程师须取厂家或</w:t>
      </w:r>
      <w:r>
        <w:rPr>
          <w:rFonts w:hint="eastAsia" w:asciiTheme="minorEastAsia" w:hAnsiTheme="minorEastAsia" w:eastAsiaTheme="minorEastAsia" w:cstheme="minorEastAsia"/>
          <w:sz w:val="30"/>
          <w:szCs w:val="30"/>
          <w:lang w:val="en-US" w:eastAsia="zh-CN"/>
        </w:rPr>
        <w:t>相应</w:t>
      </w:r>
      <w:r>
        <w:rPr>
          <w:rFonts w:hint="eastAsia" w:asciiTheme="minorEastAsia" w:hAnsiTheme="minorEastAsia" w:eastAsiaTheme="minorEastAsia" w:cstheme="minorEastAsia"/>
          <w:sz w:val="30"/>
          <w:szCs w:val="30"/>
        </w:rPr>
        <w:t>产品生产厂商培训合格证书或中国医学装备协会维修资格证书。 (提供相应证明文件)</w:t>
      </w:r>
    </w:p>
    <w:p>
      <w:pPr>
        <w:tabs>
          <w:tab w:val="left" w:pos="7665"/>
        </w:tabs>
        <w:spacing w:line="560" w:lineRule="exact"/>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8</w:t>
      </w:r>
      <w:r>
        <w:rPr>
          <w:rFonts w:hint="eastAsia" w:asciiTheme="minorEastAsia" w:hAnsiTheme="minorEastAsia" w:eastAsiaTheme="minorEastAsia" w:cstheme="minorEastAsia"/>
          <w:sz w:val="30"/>
          <w:szCs w:val="30"/>
        </w:rPr>
        <w:t>、供应商对设备</w:t>
      </w:r>
      <w:r>
        <w:rPr>
          <w:rFonts w:hint="eastAsia" w:asciiTheme="minorEastAsia" w:hAnsiTheme="minorEastAsia" w:eastAsiaTheme="minorEastAsia" w:cstheme="minorEastAsia"/>
          <w:sz w:val="30"/>
          <w:szCs w:val="30"/>
          <w:lang w:val="en-US" w:eastAsia="zh-CN"/>
        </w:rPr>
        <w:t>例行</w:t>
      </w:r>
      <w:r>
        <w:rPr>
          <w:rFonts w:hint="eastAsia" w:asciiTheme="minorEastAsia" w:hAnsiTheme="minorEastAsia" w:eastAsiaTheme="minorEastAsia" w:cstheme="minorEastAsia"/>
          <w:sz w:val="30"/>
          <w:szCs w:val="30"/>
        </w:rPr>
        <w:t>维保或维修、巡检完成后，如实填写工作记录单并交采购人相关</w:t>
      </w:r>
      <w:r>
        <w:rPr>
          <w:rFonts w:hint="eastAsia" w:asciiTheme="minorEastAsia" w:hAnsiTheme="minorEastAsia" w:eastAsiaTheme="minorEastAsia" w:cstheme="minorEastAsia"/>
          <w:color w:val="auto"/>
          <w:sz w:val="30"/>
          <w:szCs w:val="30"/>
        </w:rPr>
        <w:t>科室负责人签字确认。工作记录单交设备使用科室</w:t>
      </w:r>
      <w:r>
        <w:rPr>
          <w:rFonts w:hint="eastAsia" w:asciiTheme="minorEastAsia" w:hAnsiTheme="minorEastAsia" w:eastAsiaTheme="minorEastAsia" w:cstheme="minorEastAsia"/>
          <w:color w:val="auto"/>
          <w:sz w:val="30"/>
          <w:szCs w:val="30"/>
          <w:lang w:val="en-US" w:eastAsia="zh-CN"/>
        </w:rPr>
        <w:t>留</w:t>
      </w:r>
      <w:r>
        <w:rPr>
          <w:rFonts w:hint="eastAsia" w:asciiTheme="minorEastAsia" w:hAnsiTheme="minorEastAsia" w:eastAsiaTheme="minorEastAsia" w:cstheme="minorEastAsia"/>
          <w:color w:val="auto"/>
          <w:sz w:val="30"/>
          <w:szCs w:val="30"/>
        </w:rPr>
        <w:t>存。</w:t>
      </w:r>
    </w:p>
    <w:p>
      <w:pPr>
        <w:tabs>
          <w:tab w:val="left" w:pos="7665"/>
        </w:tabs>
        <w:spacing w:line="560" w:lineRule="exact"/>
        <w:ind w:firstLine="602" w:firstLineChars="200"/>
        <w:rPr>
          <w:rFonts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lang w:val="en-US" w:eastAsia="zh-CN"/>
        </w:rPr>
        <w:t>三、</w:t>
      </w:r>
      <w:r>
        <w:rPr>
          <w:rFonts w:hint="eastAsia" w:asciiTheme="minorEastAsia" w:hAnsiTheme="minorEastAsia" w:eastAsiaTheme="minorEastAsia" w:cstheme="minorEastAsia"/>
          <w:b/>
          <w:bCs/>
          <w:sz w:val="30"/>
          <w:szCs w:val="30"/>
        </w:rPr>
        <w:t>商务要求</w:t>
      </w:r>
    </w:p>
    <w:p>
      <w:pPr>
        <w:pStyle w:val="7"/>
        <w:snapToGrid w:val="0"/>
        <w:spacing w:line="560" w:lineRule="exact"/>
        <w:ind w:firstLine="600" w:firstLineChars="200"/>
        <w:rPr>
          <w:rFonts w:hint="default" w:asciiTheme="minorEastAsia" w:hAnsiTheme="minorEastAsia" w:eastAsiaTheme="minorEastAsia" w:cstheme="minorEastAsia"/>
          <w:sz w:val="30"/>
          <w:szCs w:val="30"/>
        </w:rPr>
      </w:pPr>
      <w:r>
        <w:rPr>
          <w:rFonts w:asciiTheme="minorEastAsia" w:hAnsiTheme="minorEastAsia" w:eastAsiaTheme="minorEastAsia" w:cstheme="minorEastAsia"/>
          <w:sz w:val="30"/>
          <w:szCs w:val="30"/>
        </w:rPr>
        <w:t>1、履约时间和方式：合同</w:t>
      </w:r>
      <w:r>
        <w:rPr>
          <w:rFonts w:hint="eastAsia" w:asciiTheme="minorEastAsia" w:hAnsiTheme="minorEastAsia" w:eastAsiaTheme="minorEastAsia" w:cstheme="minorEastAsia"/>
          <w:sz w:val="30"/>
          <w:szCs w:val="30"/>
          <w:lang w:val="en-US" w:eastAsia="zh-CN"/>
        </w:rPr>
        <w:t>期限为</w:t>
      </w:r>
      <w:r>
        <w:rPr>
          <w:rFonts w:asciiTheme="minorEastAsia" w:hAnsiTheme="minorEastAsia" w:eastAsiaTheme="minorEastAsia" w:cstheme="minorEastAsia"/>
          <w:sz w:val="30"/>
          <w:szCs w:val="30"/>
        </w:rPr>
        <w:t>1年</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如</w:t>
      </w:r>
      <w:r>
        <w:rPr>
          <w:rFonts w:asciiTheme="minorEastAsia" w:hAnsiTheme="minorEastAsia" w:eastAsiaTheme="minorEastAsia" w:cstheme="minorEastAsia"/>
          <w:sz w:val="30"/>
          <w:szCs w:val="30"/>
        </w:rPr>
        <w:t>服务</w:t>
      </w:r>
      <w:r>
        <w:rPr>
          <w:rFonts w:hint="eastAsia" w:asciiTheme="minorEastAsia" w:hAnsiTheme="minorEastAsia" w:eastAsiaTheme="minorEastAsia" w:cstheme="minorEastAsia"/>
          <w:sz w:val="30"/>
          <w:szCs w:val="30"/>
          <w:lang w:val="en-US" w:eastAsia="zh-CN"/>
        </w:rPr>
        <w:t>质量好，价格合适可意向性合作</w:t>
      </w:r>
      <w:r>
        <w:rPr>
          <w:rFonts w:asciiTheme="minorEastAsia" w:hAnsiTheme="minorEastAsia" w:eastAsiaTheme="minorEastAsia" w:cstheme="minorEastAsia"/>
          <w:sz w:val="30"/>
          <w:szCs w:val="30"/>
        </w:rPr>
        <w:t>3年</w:t>
      </w:r>
      <w:r>
        <w:rPr>
          <w:rFonts w:hint="eastAsia" w:asciiTheme="minorEastAsia" w:hAnsiTheme="minorEastAsia" w:eastAsiaTheme="minorEastAsia" w:cstheme="minorEastAsia"/>
          <w:sz w:val="30"/>
          <w:szCs w:val="30"/>
          <w:lang w:eastAsia="zh-CN"/>
        </w:rPr>
        <w:t>）</w:t>
      </w:r>
      <w:r>
        <w:rPr>
          <w:rFonts w:asciiTheme="minorEastAsia" w:hAnsiTheme="minorEastAsia" w:eastAsiaTheme="minorEastAsia" w:cstheme="minorEastAsia"/>
          <w:sz w:val="30"/>
          <w:szCs w:val="30"/>
        </w:rPr>
        <w:t>。</w:t>
      </w:r>
    </w:p>
    <w:p>
      <w:pPr>
        <w:pStyle w:val="7"/>
        <w:snapToGrid w:val="0"/>
        <w:spacing w:line="560" w:lineRule="exact"/>
        <w:ind w:firstLine="600" w:firstLineChars="200"/>
        <w:rPr>
          <w:rFonts w:hint="default"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2</w:t>
      </w:r>
      <w:r>
        <w:rPr>
          <w:rFonts w:asciiTheme="minorEastAsia" w:hAnsiTheme="minorEastAsia" w:eastAsiaTheme="minorEastAsia" w:cstheme="minorEastAsia"/>
          <w:sz w:val="30"/>
          <w:szCs w:val="30"/>
        </w:rPr>
        <w:t>、响应时间</w:t>
      </w:r>
      <w:r>
        <w:rPr>
          <w:rFonts w:hint="eastAsia" w:asciiTheme="minorEastAsia" w:hAnsiTheme="minorEastAsia" w:eastAsiaTheme="minorEastAsia" w:cstheme="minorEastAsia"/>
          <w:sz w:val="30"/>
          <w:szCs w:val="30"/>
          <w:lang w:val="en-US" w:eastAsia="zh-CN"/>
        </w:rPr>
        <w:t>和方式</w:t>
      </w:r>
      <w:r>
        <w:rPr>
          <w:rFonts w:asciiTheme="minorEastAsia" w:hAnsiTheme="minorEastAsia" w:eastAsiaTheme="minorEastAsia" w:cstheme="minorEastAsia"/>
          <w:sz w:val="30"/>
          <w:szCs w:val="30"/>
        </w:rPr>
        <w:t>：</w:t>
      </w:r>
      <w:r>
        <w:rPr>
          <w:rFonts w:hint="eastAsia" w:asciiTheme="minorEastAsia" w:hAnsiTheme="minorEastAsia" w:eastAsiaTheme="minorEastAsia" w:cstheme="minorEastAsia"/>
          <w:sz w:val="30"/>
          <w:szCs w:val="30"/>
          <w:lang w:val="en-US" w:eastAsia="zh-CN"/>
        </w:rPr>
        <w:t>服务商应提供专用服务电话，</w:t>
      </w:r>
      <w:r>
        <w:rPr>
          <w:rFonts w:asciiTheme="minorEastAsia" w:hAnsiTheme="minorEastAsia" w:eastAsiaTheme="minorEastAsia" w:cstheme="minorEastAsia"/>
          <w:sz w:val="30"/>
          <w:szCs w:val="30"/>
        </w:rPr>
        <w:t>接到设备使用方故障报修电话</w:t>
      </w:r>
      <w:r>
        <w:rPr>
          <w:rFonts w:hint="eastAsia" w:asciiTheme="minorEastAsia" w:hAnsiTheme="minorEastAsia" w:eastAsiaTheme="minorEastAsia" w:cstheme="minorEastAsia"/>
          <w:sz w:val="30"/>
          <w:szCs w:val="30"/>
          <w:lang w:val="en-US" w:eastAsia="zh-CN"/>
        </w:rPr>
        <w:t>后</w:t>
      </w:r>
      <w:r>
        <w:rPr>
          <w:rFonts w:asciiTheme="minorEastAsia" w:hAnsiTheme="minorEastAsia" w:eastAsiaTheme="minorEastAsia" w:cstheme="minorEastAsia"/>
          <w:sz w:val="30"/>
          <w:szCs w:val="30"/>
        </w:rPr>
        <w:t>，工程技术人员</w:t>
      </w:r>
      <w:r>
        <w:rPr>
          <w:rFonts w:hint="eastAsia" w:asciiTheme="minorEastAsia" w:hAnsiTheme="minorEastAsia" w:eastAsiaTheme="minorEastAsia" w:cstheme="minorEastAsia"/>
          <w:sz w:val="30"/>
          <w:szCs w:val="30"/>
          <w:lang w:val="en-US" w:eastAsia="zh-CN"/>
        </w:rPr>
        <w:t>应尽快</w:t>
      </w:r>
      <w:r>
        <w:rPr>
          <w:rFonts w:asciiTheme="minorEastAsia" w:hAnsiTheme="minorEastAsia" w:eastAsiaTheme="minorEastAsia" w:cstheme="minorEastAsia"/>
          <w:sz w:val="30"/>
          <w:szCs w:val="30"/>
        </w:rPr>
        <w:t>做出实质性响应</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时间不得</w:t>
      </w:r>
      <w:r>
        <w:rPr>
          <w:rFonts w:hint="eastAsia" w:asciiTheme="minorEastAsia" w:hAnsiTheme="minorEastAsia" w:eastAsiaTheme="minorEastAsia" w:cstheme="minorEastAsia"/>
          <w:sz w:val="30"/>
          <w:szCs w:val="30"/>
        </w:rPr>
        <w:t>≥</w:t>
      </w:r>
      <w:r>
        <w:rPr>
          <w:rFonts w:hint="eastAsia" w:asciiTheme="minorEastAsia" w:hAnsiTheme="minorEastAsia" w:eastAsiaTheme="minorEastAsia" w:cstheme="minorEastAsia"/>
          <w:color w:val="auto"/>
          <w:sz w:val="30"/>
          <w:szCs w:val="30"/>
          <w:highlight w:val="none"/>
          <w:lang w:val="en-US" w:eastAsia="zh-CN"/>
        </w:rPr>
        <w:t>3</w:t>
      </w:r>
      <w:r>
        <w:rPr>
          <w:rFonts w:hint="eastAsia" w:asciiTheme="minorEastAsia" w:hAnsiTheme="minorEastAsia" w:eastAsiaTheme="minorEastAsia" w:cstheme="minorEastAsia"/>
          <w:color w:val="auto"/>
          <w:sz w:val="30"/>
          <w:szCs w:val="30"/>
          <w:highlight w:val="none"/>
        </w:rPr>
        <w:t>0分钟</w:t>
      </w:r>
      <w:r>
        <w:rPr>
          <w:rFonts w:asciiTheme="minorEastAsia" w:hAnsiTheme="minorEastAsia" w:eastAsiaTheme="minorEastAsia" w:cstheme="minorEastAsia"/>
          <w:sz w:val="30"/>
          <w:szCs w:val="30"/>
        </w:rPr>
        <w:t>。</w:t>
      </w:r>
    </w:p>
    <w:p>
      <w:pPr>
        <w:snapToGrid w:val="0"/>
        <w:spacing w:line="360" w:lineRule="auto"/>
        <w:jc w:val="both"/>
        <w:rPr>
          <w:rFonts w:hint="eastAsia" w:asciiTheme="minorEastAsia" w:hAnsiTheme="minorEastAsia" w:eastAsiaTheme="minorEastAsia" w:cstheme="minorEastAsia"/>
          <w:b/>
          <w:bCs/>
          <w:sz w:val="30"/>
          <w:szCs w:val="30"/>
        </w:rPr>
      </w:pPr>
      <w:bookmarkStart w:id="5" w:name="_Toc80017520"/>
    </w:p>
    <w:p>
      <w:pPr>
        <w:snapToGrid w:val="0"/>
        <w:spacing w:line="360" w:lineRule="auto"/>
        <w:jc w:val="both"/>
        <w:rPr>
          <w:rFonts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第</w:t>
      </w:r>
      <w:r>
        <w:rPr>
          <w:rFonts w:hint="eastAsia" w:asciiTheme="minorEastAsia" w:hAnsiTheme="minorEastAsia" w:eastAsiaTheme="minorEastAsia" w:cstheme="minorEastAsia"/>
          <w:b/>
          <w:bCs/>
          <w:sz w:val="30"/>
          <w:szCs w:val="30"/>
          <w:lang w:val="en-US" w:eastAsia="zh-CN"/>
        </w:rPr>
        <w:t>三</w:t>
      </w:r>
      <w:r>
        <w:rPr>
          <w:rFonts w:hint="eastAsia" w:asciiTheme="minorEastAsia" w:hAnsiTheme="minorEastAsia" w:eastAsiaTheme="minorEastAsia" w:cstheme="minorEastAsia"/>
          <w:b/>
          <w:bCs/>
          <w:sz w:val="30"/>
          <w:szCs w:val="30"/>
        </w:rPr>
        <w:t xml:space="preserve">章  </w:t>
      </w:r>
      <w:bookmarkEnd w:id="5"/>
      <w:r>
        <w:rPr>
          <w:rFonts w:hint="eastAsia" w:asciiTheme="minorEastAsia" w:hAnsiTheme="minorEastAsia" w:eastAsiaTheme="minorEastAsia" w:cstheme="minorEastAsia"/>
          <w:b/>
          <w:bCs/>
          <w:sz w:val="30"/>
          <w:szCs w:val="30"/>
        </w:rPr>
        <w:t>开标和评标</w:t>
      </w:r>
    </w:p>
    <w:p>
      <w:pPr>
        <w:snapToGrid w:val="0"/>
        <w:spacing w:line="300" w:lineRule="auto"/>
        <w:rPr>
          <w:rFonts w:asciiTheme="minorEastAsia" w:hAnsiTheme="minorEastAsia" w:eastAsiaTheme="minorEastAsia" w:cstheme="minorEastAsia"/>
          <w:sz w:val="30"/>
          <w:szCs w:val="30"/>
        </w:rPr>
      </w:pPr>
    </w:p>
    <w:p>
      <w:pPr>
        <w:snapToGrid w:val="0"/>
        <w:spacing w:line="300" w:lineRule="auto"/>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    1.参加开标会的授权委托人应携</w:t>
      </w:r>
      <w:r>
        <w:rPr>
          <w:rFonts w:hint="eastAsia" w:asciiTheme="minorEastAsia" w:hAnsiTheme="minorEastAsia" w:eastAsiaTheme="minorEastAsia" w:cstheme="minorEastAsia"/>
          <w:sz w:val="30"/>
          <w:szCs w:val="30"/>
          <w:lang w:val="en-US" w:eastAsia="zh-CN"/>
        </w:rPr>
        <w:t>盖鲜章的</w:t>
      </w:r>
      <w:r>
        <w:rPr>
          <w:rFonts w:hint="eastAsia" w:asciiTheme="minorEastAsia" w:hAnsiTheme="minorEastAsia" w:eastAsiaTheme="minorEastAsia" w:cstheme="minorEastAsia"/>
          <w:sz w:val="30"/>
          <w:szCs w:val="30"/>
        </w:rPr>
        <w:t>《授权委托书》和本人身份证原件及复印件。</w:t>
      </w:r>
    </w:p>
    <w:p>
      <w:pPr>
        <w:snapToGrid w:val="0"/>
        <w:spacing w:line="300" w:lineRule="auto"/>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如果参加开标会的是法定代表人，则应携带《法定代表人证书》复印</w:t>
      </w:r>
      <w:r>
        <w:rPr>
          <w:rFonts w:hint="eastAsia" w:asciiTheme="minorEastAsia" w:hAnsiTheme="minorEastAsia" w:eastAsiaTheme="minorEastAsia" w:cstheme="minorEastAsia"/>
          <w:sz w:val="30"/>
          <w:szCs w:val="30"/>
          <w:lang w:val="en-US" w:eastAsia="zh-CN"/>
        </w:rPr>
        <w:t>件盖鲜章</w:t>
      </w:r>
      <w:r>
        <w:rPr>
          <w:rFonts w:hint="eastAsia" w:asciiTheme="minorEastAsia" w:hAnsiTheme="minorEastAsia" w:eastAsiaTheme="minorEastAsia" w:cstheme="minorEastAsia"/>
          <w:sz w:val="30"/>
          <w:szCs w:val="30"/>
        </w:rPr>
        <w:t>和本人身份证原件及复印。</w:t>
      </w:r>
    </w:p>
    <w:p>
      <w:pPr>
        <w:snapToGrid w:val="0"/>
        <w:spacing w:line="300" w:lineRule="auto"/>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  </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 xml:space="preserve"> 2</w:t>
      </w:r>
      <w:r>
        <w:rPr>
          <w:rFonts w:hint="eastAsia" w:asciiTheme="minorEastAsia" w:hAnsiTheme="minorEastAsia" w:eastAsiaTheme="minorEastAsia" w:cstheme="minorEastAsia"/>
          <w:sz w:val="30"/>
          <w:szCs w:val="30"/>
          <w:lang w:val="en-US" w:eastAsia="zh-CN"/>
        </w:rPr>
        <w:t>.</w:t>
      </w:r>
      <w:r>
        <w:rPr>
          <w:rFonts w:hint="eastAsia" w:asciiTheme="minorEastAsia" w:hAnsiTheme="minorEastAsia" w:eastAsiaTheme="minorEastAsia" w:cstheme="minorEastAsia"/>
          <w:sz w:val="30"/>
          <w:szCs w:val="30"/>
        </w:rPr>
        <w:t>投标文件的有效性</w:t>
      </w:r>
    </w:p>
    <w:p>
      <w:pPr>
        <w:snapToGrid w:val="0"/>
        <w:spacing w:line="300" w:lineRule="auto"/>
        <w:ind w:firstLine="6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开标时，投标文件出现下列情形之一的，应当作为无效投标文件，招标人不予受理，不得进入评标：</w:t>
      </w:r>
    </w:p>
    <w:p>
      <w:pPr>
        <w:numPr>
          <w:ilvl w:val="0"/>
          <w:numId w:val="2"/>
        </w:numPr>
        <w:snapToGrid w:val="0"/>
        <w:spacing w:line="300" w:lineRule="auto"/>
        <w:ind w:firstLine="6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逾期送达的或者未送达指定地点的；</w:t>
      </w:r>
    </w:p>
    <w:p>
      <w:pPr>
        <w:numPr>
          <w:ilvl w:val="0"/>
          <w:numId w:val="2"/>
        </w:numPr>
        <w:snapToGrid w:val="0"/>
        <w:spacing w:line="300" w:lineRule="auto"/>
        <w:ind w:firstLine="6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未按招标文件要求密封的。</w:t>
      </w:r>
    </w:p>
    <w:p>
      <w:pPr>
        <w:snapToGrid w:val="0"/>
        <w:spacing w:line="300" w:lineRule="auto"/>
        <w:ind w:firstLine="600" w:firstLineChars="200"/>
      </w:pPr>
      <w:r>
        <w:rPr>
          <w:rFonts w:hint="eastAsia" w:asciiTheme="minorEastAsia" w:hAnsiTheme="minorEastAsia" w:eastAsiaTheme="minorEastAsia" w:cstheme="minorEastAsia"/>
          <w:sz w:val="30"/>
          <w:szCs w:val="30"/>
        </w:rPr>
        <w:t>(</w:t>
      </w:r>
      <w:r>
        <w:rPr>
          <w:rFonts w:hint="eastAsia" w:asciiTheme="minorEastAsia" w:hAnsiTheme="minorEastAsia" w:eastAsiaTheme="minorEastAsia" w:cstheme="minorEastAsia"/>
          <w:sz w:val="30"/>
          <w:szCs w:val="30"/>
          <w:lang w:val="en-US" w:eastAsia="zh-CN"/>
        </w:rPr>
        <w:t>3</w:t>
      </w:r>
      <w:r>
        <w:rPr>
          <w:rFonts w:hint="eastAsia" w:asciiTheme="minorEastAsia" w:hAnsiTheme="minorEastAsia" w:eastAsiaTheme="minorEastAsia" w:cstheme="minorEastAsia"/>
          <w:sz w:val="30"/>
          <w:szCs w:val="30"/>
        </w:rPr>
        <w:t>)</w:t>
      </w:r>
      <w:r>
        <w:rPr>
          <w:rFonts w:hint="eastAsia" w:asciiTheme="minorEastAsia" w:hAnsiTheme="minorEastAsia" w:eastAsiaTheme="minorEastAsia" w:cstheme="minorEastAsia"/>
          <w:sz w:val="30"/>
          <w:szCs w:val="30"/>
          <w:lang w:val="en-US" w:eastAsia="zh-CN"/>
        </w:rPr>
        <w:t>其他违反法律法规的行为。</w:t>
      </w:r>
      <w:r>
        <w:rPr>
          <w:rFonts w:hint="eastAsia" w:asciiTheme="minorEastAsia" w:hAnsiTheme="minorEastAsia" w:eastAsiaTheme="minorEastAsia" w:cstheme="minorEastAsia"/>
          <w:sz w:val="30"/>
          <w:szCs w:val="30"/>
        </w:rPr>
        <w:t xml:space="preserve"> </w:t>
      </w:r>
    </w:p>
    <w:p>
      <w:pPr>
        <w:snapToGrid w:val="0"/>
        <w:spacing w:line="300" w:lineRule="auto"/>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评标</w:t>
      </w:r>
    </w:p>
    <w:p>
      <w:pPr>
        <w:snapToGrid w:val="0"/>
        <w:spacing w:line="30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   </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本项目的评标方法：采用综合评定法，选定价格合理、信誉度高、公司实力强的投标人，但不承诺最低价中标。</w:t>
      </w:r>
    </w:p>
    <w:p>
      <w:pPr>
        <w:snapToGrid w:val="0"/>
        <w:spacing w:line="300" w:lineRule="auto"/>
        <w:ind w:firstLine="600" w:firstLineChars="20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具体评</w:t>
      </w:r>
      <w:r>
        <w:rPr>
          <w:rFonts w:hint="eastAsia" w:asciiTheme="minorEastAsia" w:hAnsiTheme="minorEastAsia" w:eastAsiaTheme="minorEastAsia" w:cstheme="minorEastAsia"/>
          <w:sz w:val="30"/>
          <w:szCs w:val="30"/>
          <w:lang w:val="en-US" w:eastAsia="zh-CN"/>
        </w:rPr>
        <w:t>标</w:t>
      </w:r>
      <w:r>
        <w:rPr>
          <w:rFonts w:hint="eastAsia" w:asciiTheme="minorEastAsia" w:hAnsiTheme="minorEastAsia" w:eastAsiaTheme="minorEastAsia" w:cstheme="minorEastAsia"/>
          <w:sz w:val="30"/>
          <w:szCs w:val="30"/>
        </w:rPr>
        <w:t>方法：详见附件。</w:t>
      </w:r>
    </w:p>
    <w:p>
      <w:pPr>
        <w:snapToGrid w:val="0"/>
        <w:spacing w:line="300" w:lineRule="auto"/>
        <w:rPr>
          <w:rFonts w:asciiTheme="minorEastAsia" w:hAnsiTheme="minorEastAsia" w:eastAsiaTheme="minorEastAsia" w:cstheme="minorEastAsia"/>
          <w:sz w:val="30"/>
          <w:szCs w:val="30"/>
        </w:rPr>
        <w:sectPr>
          <w:headerReference r:id="rId8" w:type="default"/>
          <w:footerReference r:id="rId9" w:type="default"/>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sz w:val="30"/>
          <w:szCs w:val="30"/>
        </w:rPr>
        <w:t xml:space="preserve"> </w:t>
      </w:r>
      <w:r>
        <w:rPr>
          <w:rFonts w:hint="eastAsia" w:asciiTheme="minorEastAsia" w:hAnsiTheme="minorEastAsia" w:eastAsiaTheme="minorEastAsia" w:cstheme="minorEastAsia"/>
          <w:sz w:val="30"/>
          <w:szCs w:val="30"/>
          <w:lang w:val="en-US" w:eastAsia="zh-CN"/>
        </w:rPr>
        <w:t xml:space="preserve">  </w:t>
      </w:r>
    </w:p>
    <w:p>
      <w:pPr>
        <w:snapToGrid w:val="0"/>
        <w:spacing w:line="300" w:lineRule="auto"/>
        <w:ind w:firstLine="1960" w:firstLineChars="700"/>
        <w:rPr>
          <w:rFonts w:ascii="仿宋" w:hAnsi="仿宋" w:eastAsia="仿宋" w:cs="仿宋"/>
          <w:sz w:val="28"/>
          <w:szCs w:val="28"/>
        </w:rPr>
      </w:pPr>
      <w:r>
        <w:rPr>
          <w:rFonts w:hint="eastAsia" w:ascii="仿宋" w:hAnsi="仿宋" w:eastAsia="仿宋" w:cs="仿宋"/>
          <w:sz w:val="28"/>
          <w:szCs w:val="28"/>
          <w:lang w:val="en-US" w:eastAsia="zh-CN"/>
        </w:rPr>
        <w:t>附件</w:t>
      </w:r>
      <w:r>
        <w:rPr>
          <w:rFonts w:hint="eastAsia" w:ascii="仿宋" w:hAnsi="仿宋" w:eastAsia="仿宋" w:cs="仿宋"/>
          <w:sz w:val="28"/>
          <w:szCs w:val="28"/>
          <w:lang w:eastAsia="zh-CN"/>
        </w:rPr>
        <w:t>：</w:t>
      </w:r>
      <w:r>
        <w:rPr>
          <w:rFonts w:hint="eastAsia" w:ascii="仿宋" w:hAnsi="仿宋" w:eastAsia="仿宋" w:cs="仿宋"/>
          <w:sz w:val="28"/>
          <w:szCs w:val="28"/>
        </w:rPr>
        <w:t>评</w:t>
      </w:r>
      <w:r>
        <w:rPr>
          <w:rFonts w:hint="eastAsia" w:ascii="仿宋" w:hAnsi="仿宋" w:eastAsia="仿宋" w:cs="仿宋"/>
          <w:sz w:val="28"/>
          <w:szCs w:val="28"/>
          <w:lang w:val="en-US" w:eastAsia="zh-CN"/>
        </w:rPr>
        <w:t>标</w:t>
      </w:r>
      <w:r>
        <w:rPr>
          <w:rFonts w:hint="eastAsia" w:ascii="仿宋" w:hAnsi="仿宋" w:eastAsia="仿宋" w:cs="仿宋"/>
          <w:sz w:val="28"/>
          <w:szCs w:val="28"/>
        </w:rPr>
        <w:t>办法</w:t>
      </w:r>
    </w:p>
    <w:p>
      <w:pPr>
        <w:ind w:firstLine="6264" w:firstLineChars="2600"/>
        <w:rPr>
          <w:rFonts w:ascii="宋体" w:hAnsi="宋体"/>
          <w:b/>
          <w:bCs/>
          <w:color w:val="000000"/>
          <w:sz w:val="24"/>
        </w:rPr>
      </w:pPr>
    </w:p>
    <w:p>
      <w:pPr>
        <w:ind w:firstLine="6264" w:firstLineChars="2600"/>
        <w:rPr>
          <w:rFonts w:ascii="宋体" w:hAnsi="宋体"/>
          <w:b/>
          <w:bCs/>
          <w:color w:val="000000"/>
          <w:sz w:val="24"/>
        </w:rPr>
      </w:pPr>
    </w:p>
    <w:p>
      <w:pPr>
        <w:ind w:firstLine="6264" w:firstLineChars="2600"/>
        <w:rPr>
          <w:b/>
          <w:bCs/>
          <w:color w:val="000000"/>
        </w:rPr>
      </w:pPr>
      <w:r>
        <w:rPr>
          <w:rFonts w:hint="eastAsia" w:ascii="宋体" w:hAnsi="宋体"/>
          <w:b/>
          <w:bCs/>
          <w:color w:val="000000"/>
          <w:sz w:val="24"/>
        </w:rPr>
        <w:t>综合评</w:t>
      </w:r>
      <w:r>
        <w:rPr>
          <w:rFonts w:hint="eastAsia" w:ascii="宋体" w:hAnsi="宋体"/>
          <w:b/>
          <w:bCs/>
          <w:color w:val="000000"/>
          <w:sz w:val="24"/>
          <w:lang w:val="en-US" w:eastAsia="zh-CN"/>
        </w:rPr>
        <w:t>标</w:t>
      </w:r>
      <w:r>
        <w:rPr>
          <w:rFonts w:hint="eastAsia" w:ascii="宋体" w:hAnsi="宋体"/>
          <w:b/>
          <w:bCs/>
          <w:color w:val="000000"/>
          <w:sz w:val="24"/>
        </w:rPr>
        <w:t>明细表</w:t>
      </w:r>
    </w:p>
    <w:tbl>
      <w:tblPr>
        <w:tblStyle w:val="13"/>
        <w:tblpPr w:leftFromText="180" w:rightFromText="180" w:vertAnchor="text" w:horzAnchor="page" w:tblpXSpec="center" w:tblpY="347"/>
        <w:tblOverlap w:val="never"/>
        <w:tblW w:w="12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470"/>
        <w:gridCol w:w="1303"/>
        <w:gridCol w:w="5251"/>
        <w:gridCol w:w="3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234" w:type="dxa"/>
            <w:vAlign w:val="center"/>
          </w:tcPr>
          <w:p>
            <w:pPr>
              <w:adjustRightInd w:val="0"/>
              <w:snapToGrid w:val="0"/>
              <w:ind w:firstLine="28"/>
              <w:jc w:val="center"/>
              <w:rPr>
                <w:rFonts w:ascii="宋体" w:hAnsi="宋体" w:cs="宋体"/>
                <w:b/>
                <w:bCs/>
                <w:color w:val="000000"/>
                <w:sz w:val="24"/>
              </w:rPr>
            </w:pPr>
            <w:r>
              <w:rPr>
                <w:rFonts w:hint="eastAsia" w:ascii="宋体" w:hAnsi="宋体" w:cs="宋体"/>
                <w:b/>
                <w:bCs/>
                <w:color w:val="000000"/>
                <w:sz w:val="24"/>
              </w:rPr>
              <w:t>序号</w:t>
            </w:r>
          </w:p>
        </w:tc>
        <w:tc>
          <w:tcPr>
            <w:tcW w:w="1470" w:type="dxa"/>
            <w:vAlign w:val="center"/>
          </w:tcPr>
          <w:p>
            <w:pPr>
              <w:adjustRightInd w:val="0"/>
              <w:snapToGrid w:val="0"/>
              <w:ind w:firstLine="28"/>
              <w:jc w:val="center"/>
              <w:rPr>
                <w:rFonts w:ascii="宋体" w:hAnsi="宋体" w:cs="宋体"/>
                <w:b/>
                <w:bCs/>
                <w:color w:val="000000"/>
                <w:sz w:val="24"/>
              </w:rPr>
            </w:pPr>
            <w:r>
              <w:rPr>
                <w:rFonts w:hint="eastAsia" w:ascii="宋体" w:hAnsi="宋体" w:cs="宋体"/>
                <w:b/>
                <w:bCs/>
                <w:color w:val="000000"/>
                <w:sz w:val="24"/>
              </w:rPr>
              <w:t>评分因素及价格权值</w:t>
            </w:r>
          </w:p>
        </w:tc>
        <w:tc>
          <w:tcPr>
            <w:tcW w:w="1303" w:type="dxa"/>
            <w:vAlign w:val="center"/>
          </w:tcPr>
          <w:p>
            <w:pPr>
              <w:adjustRightInd w:val="0"/>
              <w:snapToGrid w:val="0"/>
              <w:ind w:firstLine="28"/>
              <w:jc w:val="center"/>
              <w:rPr>
                <w:rFonts w:ascii="宋体" w:hAnsi="宋体" w:cs="宋体"/>
                <w:b/>
                <w:bCs/>
                <w:color w:val="000000"/>
                <w:sz w:val="24"/>
              </w:rPr>
            </w:pPr>
            <w:r>
              <w:rPr>
                <w:rFonts w:hint="eastAsia" w:ascii="宋体" w:hAnsi="宋体" w:cs="宋体"/>
                <w:b/>
                <w:bCs/>
                <w:color w:val="000000"/>
                <w:sz w:val="24"/>
              </w:rPr>
              <w:t>分　值</w:t>
            </w:r>
          </w:p>
        </w:tc>
        <w:tc>
          <w:tcPr>
            <w:tcW w:w="5251" w:type="dxa"/>
            <w:vAlign w:val="center"/>
          </w:tcPr>
          <w:p>
            <w:pPr>
              <w:adjustRightInd w:val="0"/>
              <w:snapToGrid w:val="0"/>
              <w:ind w:firstLine="28"/>
              <w:jc w:val="center"/>
              <w:rPr>
                <w:rFonts w:ascii="宋体" w:hAnsi="宋体" w:cs="宋体"/>
                <w:b/>
                <w:bCs/>
                <w:color w:val="000000"/>
                <w:sz w:val="24"/>
              </w:rPr>
            </w:pPr>
            <w:r>
              <w:rPr>
                <w:rFonts w:hint="eastAsia" w:ascii="宋体" w:hAnsi="宋体" w:cs="宋体"/>
                <w:b/>
                <w:bCs/>
                <w:color w:val="000000"/>
                <w:sz w:val="24"/>
              </w:rPr>
              <w:t>评分标准</w:t>
            </w:r>
          </w:p>
        </w:tc>
        <w:tc>
          <w:tcPr>
            <w:tcW w:w="3661" w:type="dxa"/>
            <w:vAlign w:val="center"/>
          </w:tcPr>
          <w:p>
            <w:pPr>
              <w:adjustRightInd w:val="0"/>
              <w:snapToGrid w:val="0"/>
              <w:jc w:val="center"/>
              <w:rPr>
                <w:rFonts w:ascii="宋体" w:hAnsi="宋体" w:cs="宋体"/>
                <w:b/>
                <w:bCs/>
                <w:color w:val="000000"/>
                <w:sz w:val="24"/>
              </w:rPr>
            </w:pPr>
            <w:r>
              <w:rPr>
                <w:rFonts w:hint="eastAsia" w:ascii="宋体" w:hAnsi="宋体" w:cs="宋体"/>
                <w:b/>
                <w:bCs/>
                <w:color w:val="000000"/>
                <w:sz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1234" w:type="dxa"/>
            <w:vAlign w:val="center"/>
          </w:tcPr>
          <w:p>
            <w:pPr>
              <w:adjustRightInd w:val="0"/>
              <w:snapToGrid w:val="0"/>
              <w:rPr>
                <w:rFonts w:ascii="宋体" w:hAnsi="宋体" w:cs="宋体"/>
                <w:color w:val="000000"/>
                <w:szCs w:val="21"/>
              </w:rPr>
            </w:pPr>
            <w:r>
              <w:rPr>
                <w:rFonts w:hint="eastAsia" w:ascii="宋体" w:hAnsi="宋体" w:cs="宋体"/>
                <w:color w:val="000000"/>
                <w:szCs w:val="21"/>
              </w:rPr>
              <w:t>1</w:t>
            </w:r>
          </w:p>
        </w:tc>
        <w:tc>
          <w:tcPr>
            <w:tcW w:w="1470" w:type="dxa"/>
            <w:vAlign w:val="center"/>
          </w:tcPr>
          <w:p>
            <w:pPr>
              <w:adjustRightInd w:val="0"/>
              <w:snapToGrid w:val="0"/>
              <w:rPr>
                <w:rFonts w:ascii="仿宋" w:hAnsi="仿宋" w:eastAsia="仿宋" w:cs="仿宋"/>
                <w:color w:val="000000"/>
                <w:szCs w:val="21"/>
              </w:rPr>
            </w:pPr>
            <w:r>
              <w:rPr>
                <w:rFonts w:hint="eastAsia" w:ascii="仿宋" w:hAnsi="仿宋" w:eastAsia="仿宋" w:cs="仿宋"/>
                <w:color w:val="000000"/>
                <w:szCs w:val="21"/>
              </w:rPr>
              <w:t>报价10%</w:t>
            </w:r>
          </w:p>
        </w:tc>
        <w:tc>
          <w:tcPr>
            <w:tcW w:w="1303" w:type="dxa"/>
            <w:vAlign w:val="center"/>
          </w:tcPr>
          <w:p>
            <w:pPr>
              <w:adjustRightInd w:val="0"/>
              <w:snapToGrid w:val="0"/>
              <w:rPr>
                <w:rFonts w:ascii="仿宋" w:hAnsi="仿宋" w:eastAsia="仿宋" w:cs="仿宋"/>
                <w:color w:val="000000"/>
                <w:szCs w:val="21"/>
              </w:rPr>
            </w:pPr>
            <w:r>
              <w:rPr>
                <w:rFonts w:hint="eastAsia" w:ascii="仿宋" w:hAnsi="仿宋" w:eastAsia="仿宋" w:cs="仿宋"/>
                <w:color w:val="000000"/>
                <w:szCs w:val="21"/>
              </w:rPr>
              <w:t>10分</w:t>
            </w:r>
          </w:p>
        </w:tc>
        <w:tc>
          <w:tcPr>
            <w:tcW w:w="5251" w:type="dxa"/>
            <w:vAlign w:val="center"/>
          </w:tcPr>
          <w:p>
            <w:pPr>
              <w:adjustRightInd w:val="0"/>
              <w:snapToGrid w:val="0"/>
              <w:textAlignment w:val="center"/>
              <w:rPr>
                <w:rFonts w:ascii="仿宋" w:hAnsi="仿宋" w:eastAsia="仿宋" w:cs="仿宋"/>
                <w:color w:val="000000"/>
                <w:szCs w:val="21"/>
              </w:rPr>
            </w:pPr>
            <w:r>
              <w:rPr>
                <w:rFonts w:hint="eastAsia" w:ascii="仿宋" w:hAnsi="仿宋" w:eastAsia="仿宋" w:cs="仿宋"/>
                <w:color w:val="000000"/>
                <w:szCs w:val="21"/>
              </w:rPr>
              <w:t>综合评分法中的价格分统一采用低价优先法计算，即满足招标文件要求且投标价格最低的投标报价为评标基准价，其价格分为满分。其他供应商的价格分统一按照下列公式计算：</w:t>
            </w:r>
          </w:p>
          <w:p>
            <w:pPr>
              <w:adjustRightInd w:val="0"/>
              <w:snapToGrid w:val="0"/>
              <w:rPr>
                <w:rFonts w:ascii="仿宋" w:hAnsi="仿宋" w:eastAsia="仿宋" w:cs="仿宋"/>
                <w:color w:val="000000"/>
                <w:szCs w:val="21"/>
              </w:rPr>
            </w:pPr>
            <w:r>
              <w:rPr>
                <w:rFonts w:hint="eastAsia" w:ascii="仿宋" w:hAnsi="仿宋" w:eastAsia="仿宋" w:cs="仿宋"/>
                <w:color w:val="000000"/>
                <w:szCs w:val="21"/>
              </w:rPr>
              <w:t>投标报价得分=(评标基准价／投标报价)×价格权值×100</w:t>
            </w:r>
          </w:p>
        </w:tc>
        <w:tc>
          <w:tcPr>
            <w:tcW w:w="3661" w:type="dxa"/>
            <w:vAlign w:val="center"/>
          </w:tcPr>
          <w:p>
            <w:pPr>
              <w:adjustRightInd w:val="0"/>
              <w:snapToGrid w:val="0"/>
              <w:ind w:left="-38"/>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jc w:val="center"/>
        </w:trPr>
        <w:tc>
          <w:tcPr>
            <w:tcW w:w="1234" w:type="dxa"/>
            <w:vAlign w:val="center"/>
          </w:tcPr>
          <w:p>
            <w:pPr>
              <w:adjustRightInd w:val="0"/>
              <w:snapToGrid w:val="0"/>
              <w:rPr>
                <w:rFonts w:ascii="宋体" w:hAnsi="宋体" w:cs="宋体"/>
                <w:color w:val="000000"/>
                <w:szCs w:val="21"/>
              </w:rPr>
            </w:pPr>
            <w:r>
              <w:rPr>
                <w:rFonts w:hint="eastAsia" w:ascii="宋体" w:hAnsi="宋体" w:cs="宋体"/>
                <w:color w:val="000000"/>
                <w:szCs w:val="21"/>
              </w:rPr>
              <w:t>2</w:t>
            </w:r>
          </w:p>
        </w:tc>
        <w:tc>
          <w:tcPr>
            <w:tcW w:w="1470" w:type="dxa"/>
            <w:vAlign w:val="center"/>
          </w:tcPr>
          <w:p>
            <w:pPr>
              <w:adjustRightInd w:val="0"/>
              <w:snapToGrid w:val="0"/>
              <w:rPr>
                <w:rFonts w:ascii="仿宋" w:hAnsi="仿宋" w:eastAsia="仿宋" w:cs="仿宋"/>
                <w:color w:val="000000"/>
                <w:szCs w:val="21"/>
              </w:rPr>
            </w:pPr>
            <w:r>
              <w:rPr>
                <w:rFonts w:hint="eastAsia" w:ascii="仿宋" w:hAnsi="仿宋" w:eastAsia="仿宋" w:cs="仿宋"/>
                <w:color w:val="000000"/>
                <w:szCs w:val="21"/>
              </w:rPr>
              <w:t>技术要求和配置20%</w:t>
            </w:r>
          </w:p>
        </w:tc>
        <w:tc>
          <w:tcPr>
            <w:tcW w:w="1303" w:type="dxa"/>
            <w:vAlign w:val="center"/>
          </w:tcPr>
          <w:p>
            <w:pPr>
              <w:adjustRightInd w:val="0"/>
              <w:snapToGrid w:val="0"/>
              <w:rPr>
                <w:rFonts w:ascii="仿宋" w:hAnsi="仿宋" w:eastAsia="仿宋" w:cs="仿宋"/>
                <w:color w:val="000000"/>
                <w:szCs w:val="21"/>
              </w:rPr>
            </w:pPr>
            <w:r>
              <w:rPr>
                <w:rFonts w:hint="eastAsia" w:ascii="仿宋" w:hAnsi="仿宋" w:eastAsia="仿宋" w:cs="仿宋"/>
                <w:color w:val="000000"/>
                <w:szCs w:val="21"/>
              </w:rPr>
              <w:t>20分</w:t>
            </w:r>
          </w:p>
        </w:tc>
        <w:tc>
          <w:tcPr>
            <w:tcW w:w="5251" w:type="dxa"/>
            <w:vAlign w:val="center"/>
          </w:tcPr>
          <w:p>
            <w:pPr>
              <w:adjustRightInd w:val="0"/>
              <w:snapToGrid w:val="0"/>
              <w:textAlignment w:val="center"/>
              <w:rPr>
                <w:rFonts w:ascii="仿宋" w:hAnsi="仿宋" w:eastAsia="仿宋" w:cs="仿宋"/>
                <w:color w:val="000000"/>
                <w:szCs w:val="21"/>
              </w:rPr>
            </w:pPr>
            <w:r>
              <w:rPr>
                <w:rFonts w:hint="eastAsia" w:ascii="仿宋" w:hAnsi="仿宋" w:eastAsia="仿宋" w:cs="仿宋"/>
                <w:color w:val="000000"/>
                <w:szCs w:val="21"/>
              </w:rPr>
              <w:t>完全符合招标文件技术要求没有负偏离得20分；存在负偏离的，与招标文件要求有“</w:t>
            </w:r>
            <w:r>
              <w:rPr>
                <w:rFonts w:hint="eastAsia" w:ascii="仿宋" w:hAnsi="仿宋" w:eastAsia="仿宋" w:cs="仿宋"/>
                <w:bCs/>
                <w:color w:val="000000"/>
                <w:szCs w:val="21"/>
              </w:rPr>
              <w:t>▲</w:t>
            </w:r>
            <w:r>
              <w:rPr>
                <w:rFonts w:hint="eastAsia" w:ascii="仿宋" w:hAnsi="仿宋" w:eastAsia="仿宋" w:cs="仿宋"/>
                <w:color w:val="000000"/>
                <w:szCs w:val="21"/>
              </w:rPr>
              <w:t>”号条款的负偏离每一项扣3分，其余条款每负偏离一项扣1分，扣完本项分值为止。</w:t>
            </w:r>
          </w:p>
        </w:tc>
        <w:tc>
          <w:tcPr>
            <w:tcW w:w="3661" w:type="dxa"/>
            <w:vAlign w:val="center"/>
          </w:tcPr>
          <w:p>
            <w:pPr>
              <w:adjustRightInd w:val="0"/>
              <w:snapToGrid w:val="0"/>
              <w:ind w:left="-38"/>
              <w:rPr>
                <w:rFonts w:ascii="仿宋" w:hAnsi="仿宋" w:eastAsia="仿宋" w:cs="仿宋"/>
                <w:color w:val="000000"/>
                <w:szCs w:val="21"/>
              </w:rPr>
            </w:pPr>
            <w:r>
              <w:rPr>
                <w:rFonts w:hint="eastAsia" w:ascii="仿宋" w:hAnsi="仿宋" w:eastAsia="仿宋" w:cs="仿宋"/>
                <w:color w:val="000000"/>
                <w:szCs w:val="21"/>
              </w:rPr>
              <w:t>以招标文件技术要求及投标文件的应答为准。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jc w:val="center"/>
        </w:trPr>
        <w:tc>
          <w:tcPr>
            <w:tcW w:w="1234" w:type="dxa"/>
            <w:vAlign w:val="center"/>
          </w:tcPr>
          <w:p>
            <w:pPr>
              <w:adjustRightInd w:val="0"/>
              <w:snapToGrid w:val="0"/>
              <w:rPr>
                <w:rFonts w:ascii="宋体" w:hAnsi="宋体" w:cs="宋体"/>
                <w:color w:val="000000"/>
                <w:szCs w:val="21"/>
              </w:rPr>
            </w:pPr>
            <w:r>
              <w:rPr>
                <w:rFonts w:hint="eastAsia" w:ascii="宋体" w:hAnsi="宋体" w:cs="宋体"/>
                <w:color w:val="000000"/>
                <w:szCs w:val="21"/>
              </w:rPr>
              <w:t>3</w:t>
            </w:r>
          </w:p>
        </w:tc>
        <w:tc>
          <w:tcPr>
            <w:tcW w:w="1470" w:type="dxa"/>
            <w:vAlign w:val="center"/>
          </w:tcPr>
          <w:p>
            <w:pPr>
              <w:adjustRightInd w:val="0"/>
              <w:snapToGrid w:val="0"/>
              <w:rPr>
                <w:rFonts w:ascii="仿宋" w:hAnsi="仿宋" w:eastAsia="仿宋" w:cs="仿宋"/>
                <w:color w:val="000000"/>
                <w:szCs w:val="21"/>
              </w:rPr>
            </w:pPr>
            <w:r>
              <w:rPr>
                <w:rFonts w:hint="eastAsia" w:ascii="仿宋" w:hAnsi="仿宋" w:eastAsia="仿宋" w:cs="仿宋"/>
                <w:color w:val="000000"/>
                <w:szCs w:val="21"/>
              </w:rPr>
              <w:t>服务方案30%</w:t>
            </w:r>
          </w:p>
        </w:tc>
        <w:tc>
          <w:tcPr>
            <w:tcW w:w="1303" w:type="dxa"/>
            <w:vAlign w:val="center"/>
          </w:tcPr>
          <w:p>
            <w:pPr>
              <w:adjustRightInd w:val="0"/>
              <w:snapToGrid w:val="0"/>
              <w:rPr>
                <w:rFonts w:ascii="仿宋" w:hAnsi="仿宋" w:eastAsia="仿宋" w:cs="仿宋"/>
                <w:color w:val="000000"/>
                <w:szCs w:val="21"/>
              </w:rPr>
            </w:pPr>
            <w:r>
              <w:rPr>
                <w:rFonts w:hint="eastAsia" w:ascii="仿宋" w:hAnsi="仿宋" w:eastAsia="仿宋" w:cs="仿宋"/>
                <w:color w:val="000000"/>
                <w:szCs w:val="21"/>
              </w:rPr>
              <w:t>30分</w:t>
            </w:r>
          </w:p>
        </w:tc>
        <w:tc>
          <w:tcPr>
            <w:tcW w:w="5251" w:type="dxa"/>
            <w:vAlign w:val="center"/>
          </w:tcPr>
          <w:p>
            <w:pPr>
              <w:widowControl/>
              <w:adjustRightInd w:val="0"/>
              <w:snapToGrid w:val="0"/>
              <w:rPr>
                <w:rFonts w:ascii="仿宋" w:hAnsi="仿宋" w:eastAsia="仿宋" w:cs="仿宋"/>
                <w:color w:val="000000"/>
                <w:szCs w:val="21"/>
              </w:rPr>
            </w:pPr>
            <w:r>
              <w:rPr>
                <w:rFonts w:hint="eastAsia" w:ascii="仿宋" w:hAnsi="仿宋" w:eastAsia="仿宋" w:cs="仿宋"/>
                <w:color w:val="000000"/>
                <w:szCs w:val="21"/>
              </w:rPr>
              <w:t>供应商提供的服务方案包括</w:t>
            </w:r>
          </w:p>
          <w:p>
            <w:pPr>
              <w:widowControl/>
              <w:adjustRightInd w:val="0"/>
              <w:snapToGrid w:val="0"/>
              <w:rPr>
                <w:rFonts w:ascii="仿宋" w:hAnsi="仿宋" w:eastAsia="仿宋" w:cs="仿宋"/>
                <w:color w:val="000000"/>
                <w:szCs w:val="21"/>
              </w:rPr>
            </w:pPr>
            <w:r>
              <w:rPr>
                <w:rFonts w:hint="eastAsia" w:ascii="仿宋" w:hAnsi="仿宋" w:eastAsia="仿宋" w:cs="仿宋"/>
                <w:color w:val="000000"/>
                <w:szCs w:val="21"/>
              </w:rPr>
              <w:t>①本地化服务②岗位职责③设备服务总体流程④设备定期保养服务流程⑤设备故障维修服务流程⑥维修保养服务、项目施保障措施。服务内容齐全且内容完全满足本项目需求的得30分，每缺少一项内容扣5分，每有一项内容不完整或有错误的扣3分。直至本项扣完为止。</w:t>
            </w:r>
          </w:p>
          <w:p>
            <w:pPr>
              <w:widowControl/>
              <w:adjustRightInd w:val="0"/>
              <w:snapToGrid w:val="0"/>
              <w:rPr>
                <w:rFonts w:ascii="仿宋" w:hAnsi="仿宋" w:eastAsia="仿宋" w:cs="仿宋"/>
                <w:color w:val="000000"/>
                <w:szCs w:val="21"/>
              </w:rPr>
            </w:pPr>
            <w:r>
              <w:rPr>
                <w:rFonts w:hint="eastAsia" w:ascii="仿宋" w:hAnsi="仿宋" w:eastAsia="仿宋" w:cs="仿宋"/>
                <w:color w:val="000000"/>
                <w:szCs w:val="21"/>
              </w:rPr>
              <w:t>注：每有一项内容有错误（错误是指：分析内容与实际情况不符或内容前后不一致或前后逻辑错误）</w:t>
            </w:r>
          </w:p>
        </w:tc>
        <w:tc>
          <w:tcPr>
            <w:tcW w:w="3661" w:type="dxa"/>
            <w:vAlign w:val="center"/>
          </w:tcPr>
          <w:p>
            <w:pPr>
              <w:adjustRightInd w:val="0"/>
              <w:snapToGrid w:val="0"/>
              <w:rPr>
                <w:rFonts w:ascii="仿宋" w:hAnsi="仿宋" w:eastAsia="仿宋" w:cs="仿宋"/>
                <w:color w:val="000000"/>
                <w:szCs w:val="21"/>
              </w:rPr>
            </w:pPr>
            <w:r>
              <w:rPr>
                <w:rFonts w:hint="eastAsia" w:ascii="仿宋" w:hAnsi="仿宋" w:eastAsia="仿宋" w:cs="仿宋"/>
                <w:color w:val="000000"/>
                <w:szCs w:val="21"/>
              </w:rPr>
              <w:t>以投标文件中服务方案为准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1234" w:type="dxa"/>
            <w:vAlign w:val="center"/>
          </w:tcPr>
          <w:p>
            <w:pPr>
              <w:adjustRightInd w:val="0"/>
              <w:snapToGrid w:val="0"/>
              <w:rPr>
                <w:rFonts w:ascii="宋体" w:hAnsi="宋体" w:cs="宋体"/>
                <w:color w:val="000000"/>
                <w:szCs w:val="21"/>
              </w:rPr>
            </w:pPr>
            <w:r>
              <w:rPr>
                <w:rFonts w:hint="eastAsia" w:ascii="宋体" w:hAnsi="宋体" w:cs="宋体"/>
                <w:color w:val="000000"/>
                <w:szCs w:val="21"/>
              </w:rPr>
              <w:t>4</w:t>
            </w:r>
          </w:p>
        </w:tc>
        <w:tc>
          <w:tcPr>
            <w:tcW w:w="1470" w:type="dxa"/>
            <w:vAlign w:val="center"/>
          </w:tcPr>
          <w:p>
            <w:pPr>
              <w:rPr>
                <w:rFonts w:ascii="仿宋" w:hAnsi="仿宋" w:eastAsia="仿宋" w:cs="仿宋"/>
                <w:szCs w:val="21"/>
              </w:rPr>
            </w:pPr>
            <w:r>
              <w:rPr>
                <w:rFonts w:hint="eastAsia" w:ascii="仿宋" w:hAnsi="仿宋" w:eastAsia="仿宋" w:cs="仿宋"/>
                <w:color w:val="000000"/>
                <w:szCs w:val="21"/>
              </w:rPr>
              <w:t>应急方案8%</w:t>
            </w:r>
          </w:p>
        </w:tc>
        <w:tc>
          <w:tcPr>
            <w:tcW w:w="1303" w:type="dxa"/>
            <w:vAlign w:val="center"/>
          </w:tcPr>
          <w:p>
            <w:pPr>
              <w:rPr>
                <w:rFonts w:ascii="仿宋" w:hAnsi="仿宋" w:eastAsia="仿宋" w:cs="仿宋"/>
                <w:color w:val="000000"/>
                <w:szCs w:val="21"/>
              </w:rPr>
            </w:pPr>
            <w:r>
              <w:rPr>
                <w:rFonts w:hint="eastAsia" w:ascii="仿宋" w:hAnsi="仿宋" w:eastAsia="仿宋" w:cs="仿宋"/>
                <w:szCs w:val="21"/>
              </w:rPr>
              <w:t>8分</w:t>
            </w:r>
          </w:p>
        </w:tc>
        <w:tc>
          <w:tcPr>
            <w:tcW w:w="5251" w:type="dxa"/>
            <w:vAlign w:val="center"/>
          </w:tcPr>
          <w:p>
            <w:pPr>
              <w:keepLines/>
              <w:rPr>
                <w:rFonts w:ascii="仿宋" w:hAnsi="仿宋" w:eastAsia="仿宋" w:cs="仿宋"/>
                <w:szCs w:val="21"/>
              </w:rPr>
            </w:pPr>
            <w:r>
              <w:rPr>
                <w:rFonts w:hint="eastAsia" w:ascii="仿宋" w:hAnsi="仿宋" w:eastAsia="仿宋" w:cs="仿宋"/>
                <w:szCs w:val="21"/>
              </w:rPr>
              <w:t>根据供应商提供的应急方案进行评定，应急方案包含但不限于①应急情况预期分析②应急措施③应急响应方式④应急人员配置等。服务内容齐全且内容完全满足本项目需求的得8分，每缺少一项内容扣2分，每有一项内容不完整或有错误的扣1分。直至本项扣完为止。</w:t>
            </w:r>
          </w:p>
          <w:p>
            <w:pPr>
              <w:keepLines/>
              <w:rPr>
                <w:rFonts w:ascii="仿宋" w:hAnsi="仿宋" w:eastAsia="仿宋" w:cs="仿宋"/>
                <w:color w:val="000000"/>
                <w:szCs w:val="21"/>
              </w:rPr>
            </w:pPr>
            <w:r>
              <w:rPr>
                <w:rFonts w:hint="eastAsia" w:ascii="仿宋" w:hAnsi="仿宋" w:eastAsia="仿宋" w:cs="仿宋"/>
                <w:szCs w:val="21"/>
              </w:rPr>
              <w:t>注：每有一项内容有错误（错误是指：分析内容与实际情况不符或内容前后不一致或前后逻辑错误）</w:t>
            </w:r>
          </w:p>
        </w:tc>
        <w:tc>
          <w:tcPr>
            <w:tcW w:w="3661" w:type="dxa"/>
            <w:vAlign w:val="center"/>
          </w:tcPr>
          <w:p>
            <w:pPr>
              <w:adjustRightInd w:val="0"/>
              <w:snapToGrid w:val="0"/>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jc w:val="center"/>
        </w:trPr>
        <w:tc>
          <w:tcPr>
            <w:tcW w:w="1234" w:type="dxa"/>
            <w:vAlign w:val="center"/>
          </w:tcPr>
          <w:p>
            <w:pPr>
              <w:adjustRightInd w:val="0"/>
              <w:snapToGrid w:val="0"/>
              <w:rPr>
                <w:rFonts w:ascii="宋体" w:hAnsi="宋体" w:cs="宋体"/>
                <w:color w:val="000000"/>
                <w:szCs w:val="21"/>
              </w:rPr>
            </w:pPr>
            <w:r>
              <w:rPr>
                <w:rFonts w:hint="eastAsia" w:ascii="宋体" w:hAnsi="宋体" w:cs="宋体"/>
                <w:color w:val="000000"/>
                <w:szCs w:val="21"/>
              </w:rPr>
              <w:t>5</w:t>
            </w:r>
          </w:p>
        </w:tc>
        <w:tc>
          <w:tcPr>
            <w:tcW w:w="1470" w:type="dxa"/>
            <w:vAlign w:val="center"/>
          </w:tcPr>
          <w:p>
            <w:pPr>
              <w:adjustRightInd w:val="0"/>
              <w:snapToGrid w:val="0"/>
              <w:rPr>
                <w:rFonts w:ascii="仿宋" w:hAnsi="仿宋" w:eastAsia="仿宋" w:cs="仿宋"/>
                <w:color w:val="000000"/>
                <w:szCs w:val="21"/>
              </w:rPr>
            </w:pPr>
            <w:r>
              <w:rPr>
                <w:rFonts w:hint="eastAsia" w:ascii="仿宋" w:hAnsi="仿宋" w:eastAsia="仿宋" w:cs="仿宋"/>
                <w:color w:val="000000"/>
                <w:szCs w:val="21"/>
              </w:rPr>
              <w:t>履约能力30%</w:t>
            </w:r>
          </w:p>
        </w:tc>
        <w:tc>
          <w:tcPr>
            <w:tcW w:w="1303" w:type="dxa"/>
            <w:vAlign w:val="center"/>
          </w:tcPr>
          <w:p>
            <w:pPr>
              <w:adjustRightInd w:val="0"/>
              <w:snapToGrid w:val="0"/>
              <w:rPr>
                <w:rFonts w:ascii="仿宋" w:hAnsi="仿宋" w:eastAsia="仿宋" w:cs="仿宋"/>
                <w:color w:val="000000"/>
                <w:szCs w:val="21"/>
              </w:rPr>
            </w:pPr>
            <w:r>
              <w:rPr>
                <w:rFonts w:hint="eastAsia" w:ascii="仿宋" w:hAnsi="仿宋" w:eastAsia="仿宋" w:cs="仿宋"/>
                <w:color w:val="000000"/>
                <w:szCs w:val="21"/>
              </w:rPr>
              <w:t>30分</w:t>
            </w:r>
          </w:p>
        </w:tc>
        <w:tc>
          <w:tcPr>
            <w:tcW w:w="5251" w:type="dxa"/>
            <w:vAlign w:val="center"/>
          </w:tcPr>
          <w:p>
            <w:pPr>
              <w:keepLines/>
              <w:numPr>
                <w:ilvl w:val="0"/>
                <w:numId w:val="3"/>
              </w:numPr>
              <w:rPr>
                <w:rFonts w:ascii="仿宋" w:hAnsi="仿宋" w:eastAsia="仿宋" w:cs="仿宋"/>
                <w:szCs w:val="21"/>
              </w:rPr>
            </w:pPr>
            <w:r>
              <w:rPr>
                <w:rFonts w:hint="eastAsia" w:ascii="仿宋" w:hAnsi="仿宋" w:eastAsia="仿宋" w:cs="仿宋"/>
                <w:szCs w:val="21"/>
              </w:rPr>
              <w:t>供应商提供同类型维保案例合同≥15份得15分；每少提供一份扣2分，直至扣完为止，无不得分。（投标人直接与医院单位签定的合同，转包合同无效）。</w:t>
            </w:r>
          </w:p>
          <w:p>
            <w:pPr>
              <w:keepLines/>
              <w:rPr>
                <w:rFonts w:ascii="仿宋" w:hAnsi="仿宋" w:eastAsia="仿宋" w:cs="仿宋"/>
                <w:szCs w:val="21"/>
              </w:rPr>
            </w:pPr>
            <w:r>
              <w:rPr>
                <w:rFonts w:hint="eastAsia" w:ascii="仿宋" w:hAnsi="仿宋" w:eastAsia="仿宋" w:cs="仿宋"/>
                <w:szCs w:val="21"/>
              </w:rPr>
              <w:t>2、投标单位具有辐射安全许可证得2分。</w:t>
            </w:r>
          </w:p>
          <w:p>
            <w:pPr>
              <w:keepLines/>
              <w:rPr>
                <w:rFonts w:ascii="仿宋" w:hAnsi="仿宋" w:eastAsia="仿宋" w:cs="仿宋"/>
                <w:szCs w:val="21"/>
              </w:rPr>
            </w:pPr>
            <w:r>
              <w:rPr>
                <w:rFonts w:hint="eastAsia" w:ascii="仿宋" w:hAnsi="仿宋" w:eastAsia="仿宋" w:cs="仿宋"/>
                <w:szCs w:val="21"/>
              </w:rPr>
              <w:t>3、拟派遣的自有的维保工程师持有原厂或中国医学装备协会CT或DR或MRI维修维护相关的上岗合格证且具有辐射安全与防护培训合格证书，每提供一个得3分，本项最多得9分 (提供相关人员证明文件)。</w:t>
            </w:r>
          </w:p>
          <w:p>
            <w:pPr>
              <w:keepLines/>
              <w:rPr>
                <w:rFonts w:ascii="仿宋" w:hAnsi="仿宋" w:eastAsia="仿宋" w:cs="仿宋"/>
                <w:szCs w:val="21"/>
              </w:rPr>
            </w:pPr>
            <w:r>
              <w:rPr>
                <w:rFonts w:hint="eastAsia" w:ascii="仿宋" w:hAnsi="仿宋" w:eastAsia="仿宋" w:cs="仿宋"/>
                <w:szCs w:val="21"/>
              </w:rPr>
              <w:t>4、具有有效期内的ISO9001、ISO13485认证得4分，不提供不得分。</w:t>
            </w:r>
          </w:p>
        </w:tc>
        <w:tc>
          <w:tcPr>
            <w:tcW w:w="3661" w:type="dxa"/>
            <w:vAlign w:val="center"/>
          </w:tcPr>
          <w:p>
            <w:pPr>
              <w:adjustRightInd w:val="0"/>
              <w:snapToGrid w:val="0"/>
              <w:rPr>
                <w:rFonts w:ascii="仿宋" w:hAnsi="仿宋" w:eastAsia="仿宋" w:cs="仿宋"/>
                <w:color w:val="000000"/>
                <w:szCs w:val="21"/>
              </w:rPr>
            </w:pPr>
            <w:r>
              <w:rPr>
                <w:rFonts w:hint="eastAsia" w:ascii="仿宋" w:hAnsi="仿宋" w:eastAsia="仿宋" w:cs="仿宋"/>
                <w:color w:val="000000"/>
                <w:szCs w:val="21"/>
              </w:rPr>
              <w:t>以相关证书证明材料及提供可查询相关内容的合同或中标通知书为准。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1234" w:type="dxa"/>
            <w:vAlign w:val="center"/>
          </w:tcPr>
          <w:p>
            <w:pPr>
              <w:adjustRightInd w:val="0"/>
              <w:snapToGrid w:val="0"/>
              <w:rPr>
                <w:rFonts w:ascii="宋体" w:hAnsi="宋体" w:cs="宋体"/>
                <w:color w:val="000000"/>
                <w:szCs w:val="21"/>
              </w:rPr>
            </w:pPr>
            <w:r>
              <w:rPr>
                <w:rFonts w:hint="eastAsia" w:ascii="宋体" w:hAnsi="宋体" w:cs="宋体"/>
                <w:color w:val="000000"/>
                <w:szCs w:val="21"/>
              </w:rPr>
              <w:t>6</w:t>
            </w:r>
          </w:p>
        </w:tc>
        <w:tc>
          <w:tcPr>
            <w:tcW w:w="1470" w:type="dxa"/>
            <w:vAlign w:val="center"/>
          </w:tcPr>
          <w:p>
            <w:pPr>
              <w:adjustRightInd w:val="0"/>
              <w:snapToGrid w:val="0"/>
              <w:rPr>
                <w:rFonts w:ascii="仿宋" w:hAnsi="仿宋" w:eastAsia="仿宋" w:cs="仿宋"/>
                <w:color w:val="000000"/>
                <w:szCs w:val="21"/>
              </w:rPr>
            </w:pPr>
            <w:r>
              <w:rPr>
                <w:rFonts w:hint="eastAsia" w:ascii="仿宋" w:hAnsi="仿宋" w:eastAsia="仿宋" w:cs="仿宋"/>
                <w:color w:val="000000"/>
                <w:szCs w:val="21"/>
              </w:rPr>
              <w:t>投标文件的规范性2%</w:t>
            </w:r>
          </w:p>
        </w:tc>
        <w:tc>
          <w:tcPr>
            <w:tcW w:w="1303" w:type="dxa"/>
            <w:vAlign w:val="center"/>
          </w:tcPr>
          <w:p>
            <w:pPr>
              <w:adjustRightInd w:val="0"/>
              <w:snapToGrid w:val="0"/>
              <w:rPr>
                <w:rFonts w:ascii="仿宋" w:hAnsi="仿宋" w:eastAsia="仿宋" w:cs="仿宋"/>
                <w:color w:val="000000"/>
                <w:szCs w:val="21"/>
              </w:rPr>
            </w:pPr>
            <w:r>
              <w:rPr>
                <w:rFonts w:hint="eastAsia" w:ascii="仿宋" w:hAnsi="仿宋" w:eastAsia="仿宋" w:cs="仿宋"/>
                <w:color w:val="000000"/>
                <w:szCs w:val="21"/>
              </w:rPr>
              <w:t>2分</w:t>
            </w:r>
          </w:p>
        </w:tc>
        <w:tc>
          <w:tcPr>
            <w:tcW w:w="5251" w:type="dxa"/>
            <w:vAlign w:val="center"/>
          </w:tcPr>
          <w:p>
            <w:pPr>
              <w:adjustRightInd w:val="0"/>
              <w:snapToGrid w:val="0"/>
              <w:rPr>
                <w:rFonts w:ascii="仿宋" w:hAnsi="仿宋" w:eastAsia="仿宋" w:cs="仿宋"/>
                <w:color w:val="000000"/>
                <w:szCs w:val="21"/>
              </w:rPr>
            </w:pPr>
            <w:r>
              <w:rPr>
                <w:rFonts w:hint="eastAsia" w:ascii="仿宋" w:hAnsi="仿宋" w:eastAsia="仿宋" w:cs="仿宋"/>
                <w:color w:val="000000"/>
                <w:szCs w:val="21"/>
              </w:rPr>
              <w:t>投标文件制作规范、逐页编码、条理清晰、逻辑编排合理、前后内容无矛盾，没有细微偏差得2分；有一项细微偏差扣1分，直至该项分值扣完为止。</w:t>
            </w:r>
          </w:p>
        </w:tc>
        <w:tc>
          <w:tcPr>
            <w:tcW w:w="3661" w:type="dxa"/>
            <w:vAlign w:val="center"/>
          </w:tcPr>
          <w:p>
            <w:pPr>
              <w:adjustRightInd w:val="0"/>
              <w:snapToGrid w:val="0"/>
              <w:rPr>
                <w:rFonts w:ascii="仿宋" w:hAnsi="仿宋" w:eastAsia="仿宋" w:cs="仿宋"/>
                <w:color w:val="000000"/>
                <w:szCs w:val="21"/>
              </w:rPr>
            </w:pPr>
            <w:r>
              <w:rPr>
                <w:rFonts w:hint="eastAsia" w:ascii="仿宋" w:hAnsi="仿宋" w:eastAsia="仿宋" w:cs="仿宋"/>
                <w:color w:val="000000"/>
                <w:szCs w:val="21"/>
              </w:rPr>
              <w:t>以投标文件本身为准。</w:t>
            </w:r>
          </w:p>
        </w:tc>
      </w:tr>
    </w:tbl>
    <w:p>
      <w:pPr>
        <w:jc w:val="right"/>
        <w:rPr>
          <w:rFonts w:ascii="仿宋" w:hAnsi="仿宋" w:eastAsia="仿宋" w:cs="仿宋"/>
          <w:sz w:val="28"/>
          <w:szCs w:val="28"/>
        </w:rPr>
      </w:pPr>
    </w:p>
    <w:p>
      <w:pPr>
        <w:spacing w:line="360" w:lineRule="auto"/>
        <w:rPr>
          <w:rFonts w:ascii="仿宋" w:hAnsi="仿宋" w:eastAsia="仿宋" w:cs="仿宋"/>
          <w:b/>
          <w:spacing w:val="8"/>
          <w:sz w:val="28"/>
          <w:szCs w:val="28"/>
        </w:rPr>
      </w:pPr>
      <w:r>
        <w:rPr>
          <w:rFonts w:hint="eastAsia" w:ascii="仿宋" w:hAnsi="仿宋" w:eastAsia="仿宋" w:cs="仿宋"/>
          <w:b/>
          <w:sz w:val="28"/>
          <w:szCs w:val="28"/>
        </w:rPr>
        <w:t xml:space="preserve">                           </w:t>
      </w:r>
    </w:p>
    <w:p>
      <w:pPr>
        <w:pStyle w:val="18"/>
        <w:spacing w:line="560" w:lineRule="exact"/>
        <w:ind w:firstLine="5040" w:firstLineChars="1800"/>
        <w:rPr>
          <w:color w:val="000000"/>
          <w:sz w:val="28"/>
          <w:szCs w:val="28"/>
          <w:u w:val="single"/>
        </w:rPr>
      </w:pPr>
    </w:p>
    <w:sectPr>
      <w:footerReference r:id="rId10"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6"/>
      </w:rPr>
    </w:pPr>
    <w:r>
      <w:fldChar w:fldCharType="begin"/>
    </w:r>
    <w:r>
      <w:rPr>
        <w:rStyle w:val="16"/>
      </w:rPr>
      <w:instrText xml:space="preserve">PAGE  </w:instrTex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四川省工商行政管理局数据中心建设项目政府采购—招标文件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7A4256"/>
    <w:multiLevelType w:val="singleLevel"/>
    <w:tmpl w:val="C17A4256"/>
    <w:lvl w:ilvl="0" w:tentative="0">
      <w:start w:val="1"/>
      <w:numFmt w:val="decimal"/>
      <w:suff w:val="space"/>
      <w:lvlText w:val="(%1)"/>
      <w:lvlJc w:val="left"/>
    </w:lvl>
  </w:abstractNum>
  <w:abstractNum w:abstractNumId="1">
    <w:nsid w:val="11AE53CD"/>
    <w:multiLevelType w:val="singleLevel"/>
    <w:tmpl w:val="11AE53CD"/>
    <w:lvl w:ilvl="0" w:tentative="0">
      <w:start w:val="1"/>
      <w:numFmt w:val="decimal"/>
      <w:suff w:val="nothing"/>
      <w:lvlText w:val="%1、"/>
      <w:lvlJc w:val="left"/>
    </w:lvl>
  </w:abstractNum>
  <w:abstractNum w:abstractNumId="2">
    <w:nsid w:val="5EF5BBF9"/>
    <w:multiLevelType w:val="singleLevel"/>
    <w:tmpl w:val="5EF5BBF9"/>
    <w:lvl w:ilvl="0" w:tentative="0">
      <w:start w:val="3"/>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MTk0NWE1YTE3MWU2NGY0ODgxNTc5ZTU0OWEwZTcifQ=="/>
  </w:docVars>
  <w:rsids>
    <w:rsidRoot w:val="6EA414BE"/>
    <w:rsid w:val="00014F4F"/>
    <w:rsid w:val="002207E6"/>
    <w:rsid w:val="002351B9"/>
    <w:rsid w:val="003C0266"/>
    <w:rsid w:val="0048249F"/>
    <w:rsid w:val="005130E1"/>
    <w:rsid w:val="00695075"/>
    <w:rsid w:val="006D01A0"/>
    <w:rsid w:val="00727183"/>
    <w:rsid w:val="008D35D9"/>
    <w:rsid w:val="008E78A9"/>
    <w:rsid w:val="00A81273"/>
    <w:rsid w:val="00C14B91"/>
    <w:rsid w:val="00DE5AFB"/>
    <w:rsid w:val="01242982"/>
    <w:rsid w:val="017B30A4"/>
    <w:rsid w:val="01A22C15"/>
    <w:rsid w:val="029974C1"/>
    <w:rsid w:val="02E07A2D"/>
    <w:rsid w:val="03F62DA4"/>
    <w:rsid w:val="05D1156A"/>
    <w:rsid w:val="06346236"/>
    <w:rsid w:val="07391925"/>
    <w:rsid w:val="08037A1A"/>
    <w:rsid w:val="08A96637"/>
    <w:rsid w:val="092E4D8E"/>
    <w:rsid w:val="0A6C4E47"/>
    <w:rsid w:val="0B0009AC"/>
    <w:rsid w:val="0BEB6F66"/>
    <w:rsid w:val="0C324B95"/>
    <w:rsid w:val="0CBB0828"/>
    <w:rsid w:val="0D335069"/>
    <w:rsid w:val="0D79234E"/>
    <w:rsid w:val="0DD34156"/>
    <w:rsid w:val="0E230C39"/>
    <w:rsid w:val="0E4532A6"/>
    <w:rsid w:val="101051ED"/>
    <w:rsid w:val="10AD523E"/>
    <w:rsid w:val="10C20C0F"/>
    <w:rsid w:val="114E364B"/>
    <w:rsid w:val="122E3C79"/>
    <w:rsid w:val="12890A6E"/>
    <w:rsid w:val="15D05B4B"/>
    <w:rsid w:val="16FE0496"/>
    <w:rsid w:val="1BC94738"/>
    <w:rsid w:val="1C3B1844"/>
    <w:rsid w:val="1D1633DB"/>
    <w:rsid w:val="1D271DC8"/>
    <w:rsid w:val="1EA57449"/>
    <w:rsid w:val="1F212F73"/>
    <w:rsid w:val="2016181B"/>
    <w:rsid w:val="20B00A53"/>
    <w:rsid w:val="20C20786"/>
    <w:rsid w:val="20DD5CDC"/>
    <w:rsid w:val="21657C15"/>
    <w:rsid w:val="21EF7E50"/>
    <w:rsid w:val="22DD5403"/>
    <w:rsid w:val="23DF3A53"/>
    <w:rsid w:val="24833D88"/>
    <w:rsid w:val="25BC1C48"/>
    <w:rsid w:val="279F712B"/>
    <w:rsid w:val="28221B0A"/>
    <w:rsid w:val="28DF17A9"/>
    <w:rsid w:val="292D0766"/>
    <w:rsid w:val="299C4EE2"/>
    <w:rsid w:val="29A83961"/>
    <w:rsid w:val="2AF27EBA"/>
    <w:rsid w:val="2B2A3338"/>
    <w:rsid w:val="2C4A132A"/>
    <w:rsid w:val="2C82104A"/>
    <w:rsid w:val="2CD930DF"/>
    <w:rsid w:val="2CE61358"/>
    <w:rsid w:val="2D3C16D5"/>
    <w:rsid w:val="2F53021D"/>
    <w:rsid w:val="2FB120F1"/>
    <w:rsid w:val="330662B0"/>
    <w:rsid w:val="3330157F"/>
    <w:rsid w:val="33882539"/>
    <w:rsid w:val="33A038C2"/>
    <w:rsid w:val="33B43F5E"/>
    <w:rsid w:val="34825E0A"/>
    <w:rsid w:val="35B5399B"/>
    <w:rsid w:val="365B4B65"/>
    <w:rsid w:val="36B9188B"/>
    <w:rsid w:val="372A5EE5"/>
    <w:rsid w:val="38975BFC"/>
    <w:rsid w:val="38FD03AE"/>
    <w:rsid w:val="393E10A6"/>
    <w:rsid w:val="3A0F0C00"/>
    <w:rsid w:val="3A706705"/>
    <w:rsid w:val="3A865ADE"/>
    <w:rsid w:val="3B304195"/>
    <w:rsid w:val="3B876B0E"/>
    <w:rsid w:val="3C071BEB"/>
    <w:rsid w:val="3C6978B0"/>
    <w:rsid w:val="3E467EA9"/>
    <w:rsid w:val="3F1977D3"/>
    <w:rsid w:val="3F632CDC"/>
    <w:rsid w:val="3FFD072F"/>
    <w:rsid w:val="3FFF0C57"/>
    <w:rsid w:val="41800C28"/>
    <w:rsid w:val="437A7FB9"/>
    <w:rsid w:val="45CC15DB"/>
    <w:rsid w:val="46274A64"/>
    <w:rsid w:val="463B1A5F"/>
    <w:rsid w:val="47A821CE"/>
    <w:rsid w:val="47B756FC"/>
    <w:rsid w:val="47F65F6F"/>
    <w:rsid w:val="48A979B2"/>
    <w:rsid w:val="49064E04"/>
    <w:rsid w:val="493D78EE"/>
    <w:rsid w:val="49B06B1E"/>
    <w:rsid w:val="4A9B5DC9"/>
    <w:rsid w:val="4AB60164"/>
    <w:rsid w:val="4AF55130"/>
    <w:rsid w:val="4AF85F7F"/>
    <w:rsid w:val="4B0C4228"/>
    <w:rsid w:val="4C46376A"/>
    <w:rsid w:val="4CC9398D"/>
    <w:rsid w:val="4DD976FC"/>
    <w:rsid w:val="4E6810C5"/>
    <w:rsid w:val="4E6B74B7"/>
    <w:rsid w:val="50A3118B"/>
    <w:rsid w:val="511C728D"/>
    <w:rsid w:val="51804282"/>
    <w:rsid w:val="543E2F94"/>
    <w:rsid w:val="54770964"/>
    <w:rsid w:val="55D63F3E"/>
    <w:rsid w:val="5698242E"/>
    <w:rsid w:val="56A36A74"/>
    <w:rsid w:val="57B643D0"/>
    <w:rsid w:val="59EC7EB4"/>
    <w:rsid w:val="59FF2D4A"/>
    <w:rsid w:val="5BBB7CD0"/>
    <w:rsid w:val="5CCD306A"/>
    <w:rsid w:val="5D0631CD"/>
    <w:rsid w:val="5EB32EE1"/>
    <w:rsid w:val="5FDA449D"/>
    <w:rsid w:val="60B847DE"/>
    <w:rsid w:val="625247BE"/>
    <w:rsid w:val="62662018"/>
    <w:rsid w:val="63277BF6"/>
    <w:rsid w:val="632B74E9"/>
    <w:rsid w:val="6348740A"/>
    <w:rsid w:val="644B5969"/>
    <w:rsid w:val="6470717E"/>
    <w:rsid w:val="64FD3107"/>
    <w:rsid w:val="65EE583D"/>
    <w:rsid w:val="67876CB8"/>
    <w:rsid w:val="69176EFC"/>
    <w:rsid w:val="69AF24F6"/>
    <w:rsid w:val="6A722F26"/>
    <w:rsid w:val="6A7A0D56"/>
    <w:rsid w:val="6A9A6D03"/>
    <w:rsid w:val="6A9C5E58"/>
    <w:rsid w:val="6AD541DF"/>
    <w:rsid w:val="6B8C6F93"/>
    <w:rsid w:val="6BC26511"/>
    <w:rsid w:val="6D303697"/>
    <w:rsid w:val="6D4B153C"/>
    <w:rsid w:val="6EA414BE"/>
    <w:rsid w:val="6F5A2F04"/>
    <w:rsid w:val="6F76203C"/>
    <w:rsid w:val="6FA0300D"/>
    <w:rsid w:val="6FCF6427"/>
    <w:rsid w:val="73552361"/>
    <w:rsid w:val="73F578DD"/>
    <w:rsid w:val="740718AD"/>
    <w:rsid w:val="746E5488"/>
    <w:rsid w:val="76C642CF"/>
    <w:rsid w:val="76D076A2"/>
    <w:rsid w:val="76EE7B9F"/>
    <w:rsid w:val="770A5210"/>
    <w:rsid w:val="77713B72"/>
    <w:rsid w:val="78DB6E64"/>
    <w:rsid w:val="7A392094"/>
    <w:rsid w:val="7A7F48C3"/>
    <w:rsid w:val="7AAA05BC"/>
    <w:rsid w:val="7AAC0B30"/>
    <w:rsid w:val="7CFB1883"/>
    <w:rsid w:val="7DFA4230"/>
    <w:rsid w:val="7E4B47BB"/>
    <w:rsid w:val="7E834226"/>
    <w:rsid w:val="7E851D4C"/>
    <w:rsid w:val="7EDB7BBE"/>
    <w:rsid w:val="7F3153FF"/>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1"/>
    <w:qFormat/>
    <w:uiPriority w:val="0"/>
    <w:pPr>
      <w:keepNext/>
      <w:pBdr>
        <w:top w:val="none" w:color="auto" w:sz="0" w:space="1"/>
        <w:left w:val="none" w:color="auto" w:sz="0" w:space="4"/>
        <w:bottom w:val="none" w:color="auto" w:sz="0" w:space="1"/>
        <w:right w:val="none" w:color="auto" w:sz="0" w:space="4"/>
      </w:pBdr>
      <w:snapToGrid w:val="0"/>
      <w:spacing w:line="360" w:lineRule="auto"/>
      <w:jc w:val="left"/>
      <w:outlineLvl w:val="0"/>
    </w:pPr>
    <w:rPr>
      <w:b/>
      <w:sz w:val="30"/>
    </w:rPr>
  </w:style>
  <w:style w:type="paragraph" w:styleId="4">
    <w:name w:val="heading 2"/>
    <w:basedOn w:val="1"/>
    <w:next w:val="1"/>
    <w:qFormat/>
    <w:uiPriority w:val="0"/>
    <w:pPr>
      <w:keepNext/>
      <w:keepLines/>
      <w:spacing w:before="260" w:after="260" w:line="416" w:lineRule="auto"/>
      <w:outlineLvl w:val="1"/>
    </w:pPr>
    <w:rPr>
      <w:rFonts w:ascii="Arial" w:hAnsi="Arial" w:eastAsia="黑体"/>
      <w:sz w:val="32"/>
      <w:szCs w:val="32"/>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5">
    <w:name w:val="Normal Indent"/>
    <w:basedOn w:val="1"/>
    <w:qFormat/>
    <w:uiPriority w:val="0"/>
    <w:pPr>
      <w:ind w:firstLine="420" w:firstLineChars="200"/>
    </w:pPr>
  </w:style>
  <w:style w:type="paragraph" w:styleId="6">
    <w:name w:val="Body Text Indent"/>
    <w:basedOn w:val="1"/>
    <w:unhideWhenUsed/>
    <w:qFormat/>
    <w:uiPriority w:val="0"/>
    <w:pPr>
      <w:spacing w:after="120"/>
      <w:ind w:left="420" w:leftChars="200"/>
    </w:pPr>
    <w:rPr>
      <w:rFonts w:ascii="Calibri" w:hAnsi="Calibri"/>
      <w:kern w:val="0"/>
      <w:sz w:val="20"/>
    </w:rPr>
  </w:style>
  <w:style w:type="paragraph" w:styleId="7">
    <w:name w:val="Plain Text"/>
    <w:basedOn w:val="1"/>
    <w:qFormat/>
    <w:uiPriority w:val="99"/>
    <w:pPr>
      <w:autoSpaceDE w:val="0"/>
      <w:autoSpaceDN w:val="0"/>
      <w:adjustRightInd w:val="0"/>
    </w:pPr>
    <w:rPr>
      <w:rFonts w:hint="eastAsia" w:hAnsi="Tms Rmn"/>
    </w:rPr>
  </w:style>
  <w:style w:type="paragraph" w:styleId="8">
    <w:name w:val="footer"/>
    <w:basedOn w:val="1"/>
    <w:next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39"/>
    <w:rPr>
      <w:b/>
      <w:bCs/>
      <w:caps/>
      <w:szCs w:val="20"/>
    </w:rPr>
  </w:style>
  <w:style w:type="paragraph" w:styleId="11">
    <w:name w:val="Subtitle"/>
    <w:basedOn w:val="1"/>
    <w:next w:val="1"/>
    <w:qFormat/>
    <w:uiPriority w:val="11"/>
    <w:pPr>
      <w:spacing w:after="60"/>
      <w:jc w:val="center"/>
      <w:outlineLvl w:val="1"/>
    </w:pPr>
    <w:rPr>
      <w:rFonts w:ascii="Cambria" w:hAnsi="Cambria"/>
    </w:rPr>
  </w:style>
  <w:style w:type="paragraph" w:styleId="12">
    <w:name w:val="Body Text First Indent 2"/>
    <w:basedOn w:val="6"/>
    <w:unhideWhenUsed/>
    <w:qFormat/>
    <w:uiPriority w:val="99"/>
    <w:pPr>
      <w:spacing w:after="0"/>
      <w:ind w:firstLine="42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Hyperlink"/>
    <w:qFormat/>
    <w:uiPriority w:val="99"/>
    <w:rPr>
      <w:color w:val="0000FF"/>
      <w:u w:val="single"/>
    </w:rPr>
  </w:style>
  <w:style w:type="paragraph" w:customStyle="1" w:styleId="18">
    <w:name w:val="正文首行缩进两字符"/>
    <w:basedOn w:val="1"/>
    <w:qFormat/>
    <w:uiPriority w:val="0"/>
    <w:pPr>
      <w:spacing w:line="360" w:lineRule="auto"/>
      <w:ind w:firstLine="200" w:firstLineChars="200"/>
    </w:pPr>
  </w:style>
  <w:style w:type="paragraph" w:customStyle="1" w:styleId="19">
    <w:name w:val="p0"/>
    <w:basedOn w:val="1"/>
    <w:qFormat/>
    <w:uiPriority w:val="0"/>
    <w:pPr>
      <w:widowControl/>
      <w:spacing w:beforeAutospacing="1" w:afterAutospacing="1"/>
      <w:jc w:val="left"/>
    </w:pPr>
    <w:rPr>
      <w:rFonts w:ascii="宋体" w:hAnsi="宋体" w:cs="宋体"/>
      <w:kern w:val="0"/>
      <w:sz w:val="24"/>
    </w:rPr>
  </w:style>
  <w:style w:type="paragraph" w:customStyle="1" w:styleId="20">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character" w:customStyle="1" w:styleId="21">
    <w:name w:val="标题 1 Char"/>
    <w:link w:val="3"/>
    <w:qFormat/>
    <w:uiPriority w:val="0"/>
    <w:rPr>
      <w:rFonts w:ascii="Times New Roman" w:hAnsi="Times New Roman"/>
      <w:b/>
      <w:sz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3148</Words>
  <Characters>3319</Characters>
  <Lines>57</Lines>
  <Paragraphs>16</Paragraphs>
  <TotalTime>4</TotalTime>
  <ScaleCrop>false</ScaleCrop>
  <LinksUpToDate>false</LinksUpToDate>
  <CharactersWithSpaces>3419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2023-07-10T03:01:00Z</dcterms:created>
  <dc:creator>故里</dc:creator>
  <cp:lastModifiedBy>pc</cp:lastModifiedBy>
  <cp:lastPrinted>2023-07-11T08:11:00Z</cp:lastPrinted>
  <dcterms:modified xsi:type="dcterms:W3CDTF">2023-07-11T11:13:02Z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0B29CCF3DFF64CC880272053733F5D44_13</vt:lpwstr>
  </property>
</Properties>
</file>